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E5" w:rsidRPr="00692061" w:rsidRDefault="00B53A17">
      <w:pPr>
        <w:shd w:val="clear" w:color="auto" w:fill="FFFFFF"/>
        <w:rPr>
          <w:rFonts w:eastAsia="Calibri"/>
          <w:b/>
          <w:sz w:val="24"/>
          <w:szCs w:val="24"/>
        </w:rPr>
      </w:pPr>
      <w:r w:rsidRPr="00692061">
        <w:rPr>
          <w:rFonts w:eastAsia="Calibri"/>
          <w:b/>
          <w:sz w:val="24"/>
          <w:szCs w:val="24"/>
        </w:rPr>
        <w:t xml:space="preserve">Republika Hrvatska </w:t>
      </w:r>
    </w:p>
    <w:p w:rsidR="00A241E5" w:rsidRPr="00692061" w:rsidRDefault="00B53A17">
      <w:pPr>
        <w:shd w:val="clear" w:color="auto" w:fill="FFFFFF"/>
        <w:rPr>
          <w:rFonts w:eastAsia="Calibri"/>
          <w:b/>
          <w:sz w:val="24"/>
          <w:szCs w:val="24"/>
        </w:rPr>
      </w:pPr>
      <w:r w:rsidRPr="00692061">
        <w:rPr>
          <w:rFonts w:eastAsia="Calibri"/>
          <w:b/>
          <w:sz w:val="24"/>
          <w:szCs w:val="24"/>
        </w:rPr>
        <w:t xml:space="preserve">Grad </w:t>
      </w:r>
      <w:r w:rsidR="00692061" w:rsidRPr="00692061">
        <w:rPr>
          <w:rFonts w:eastAsia="Calibri"/>
          <w:b/>
          <w:sz w:val="24"/>
          <w:szCs w:val="24"/>
        </w:rPr>
        <w:t>Zagreb</w:t>
      </w:r>
    </w:p>
    <w:p w:rsidR="001642D3" w:rsidRDefault="00692061" w:rsidP="00692061">
      <w:pPr>
        <w:rPr>
          <w:b/>
          <w:sz w:val="24"/>
          <w:szCs w:val="24"/>
        </w:rPr>
      </w:pPr>
      <w:r w:rsidRPr="00692061">
        <w:rPr>
          <w:b/>
          <w:sz w:val="24"/>
          <w:szCs w:val="24"/>
        </w:rPr>
        <w:t xml:space="preserve">VII. GIMNAZIJA, 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b/>
          <w:sz w:val="24"/>
          <w:szCs w:val="24"/>
        </w:rPr>
        <w:t>ZAGREB,</w:t>
      </w:r>
      <w:r w:rsidR="00185D2C">
        <w:rPr>
          <w:b/>
          <w:sz w:val="24"/>
          <w:szCs w:val="24"/>
        </w:rPr>
        <w:t xml:space="preserve"> </w:t>
      </w:r>
      <w:r w:rsidRPr="00692061">
        <w:rPr>
          <w:b/>
          <w:sz w:val="24"/>
          <w:szCs w:val="24"/>
        </w:rPr>
        <w:t>KRIŽANIĆEVA 4</w:t>
      </w:r>
    </w:p>
    <w:p w:rsidR="00692061" w:rsidRPr="00692061" w:rsidRDefault="00692061" w:rsidP="00692061">
      <w:pPr>
        <w:rPr>
          <w:b/>
          <w:sz w:val="24"/>
          <w:szCs w:val="24"/>
        </w:rPr>
      </w:pPr>
      <w:r w:rsidRPr="00692061">
        <w:rPr>
          <w:sz w:val="24"/>
          <w:szCs w:val="24"/>
        </w:rPr>
        <w:t>Broj RKP-a:</w:t>
      </w:r>
      <w:r w:rsidRPr="00692061">
        <w:rPr>
          <w:b/>
          <w:sz w:val="24"/>
          <w:szCs w:val="24"/>
        </w:rPr>
        <w:t>16377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sz w:val="24"/>
          <w:szCs w:val="24"/>
        </w:rPr>
        <w:t>Matični broj:</w:t>
      </w:r>
      <w:r w:rsidRPr="00692061">
        <w:rPr>
          <w:b/>
          <w:sz w:val="24"/>
          <w:szCs w:val="24"/>
        </w:rPr>
        <w:t>03765610</w:t>
      </w:r>
    </w:p>
    <w:p w:rsidR="00692061" w:rsidRPr="00692061" w:rsidRDefault="00692061" w:rsidP="00692061">
      <w:pPr>
        <w:rPr>
          <w:b/>
          <w:sz w:val="24"/>
          <w:szCs w:val="24"/>
        </w:rPr>
      </w:pPr>
      <w:r w:rsidRPr="00692061">
        <w:rPr>
          <w:sz w:val="24"/>
          <w:szCs w:val="24"/>
        </w:rPr>
        <w:t>OIB:</w:t>
      </w:r>
      <w:r w:rsidRPr="00692061">
        <w:rPr>
          <w:b/>
          <w:sz w:val="24"/>
          <w:szCs w:val="24"/>
        </w:rPr>
        <w:t>91194993418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sz w:val="24"/>
          <w:szCs w:val="24"/>
        </w:rPr>
        <w:t>Oznaka razine:</w:t>
      </w:r>
      <w:r w:rsidRPr="00692061">
        <w:rPr>
          <w:b/>
          <w:sz w:val="24"/>
          <w:szCs w:val="24"/>
        </w:rPr>
        <w:t>31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sz w:val="24"/>
          <w:szCs w:val="24"/>
        </w:rPr>
        <w:t>Šifra djelatnosti, razdjel:</w:t>
      </w:r>
      <w:r w:rsidRPr="00692061">
        <w:rPr>
          <w:b/>
          <w:sz w:val="24"/>
          <w:szCs w:val="24"/>
        </w:rPr>
        <w:t>80210</w:t>
      </w:r>
    </w:p>
    <w:p w:rsidR="00692061" w:rsidRPr="00692061" w:rsidRDefault="00692061" w:rsidP="00692061">
      <w:pPr>
        <w:rPr>
          <w:b/>
          <w:sz w:val="24"/>
          <w:szCs w:val="24"/>
        </w:rPr>
      </w:pPr>
      <w:r w:rsidRPr="00692061">
        <w:rPr>
          <w:sz w:val="24"/>
          <w:szCs w:val="24"/>
        </w:rPr>
        <w:t>Žiro račun:</w:t>
      </w:r>
      <w:r w:rsidR="00185D2C">
        <w:rPr>
          <w:sz w:val="24"/>
          <w:szCs w:val="24"/>
        </w:rPr>
        <w:t xml:space="preserve"> </w:t>
      </w:r>
      <w:r w:rsidRPr="00692061">
        <w:rPr>
          <w:sz w:val="24"/>
          <w:szCs w:val="24"/>
        </w:rPr>
        <w:t xml:space="preserve">IBAN </w:t>
      </w:r>
      <w:r w:rsidRPr="00692061">
        <w:rPr>
          <w:b/>
          <w:sz w:val="24"/>
          <w:szCs w:val="24"/>
        </w:rPr>
        <w:t>HR0723400091100036072</w:t>
      </w:r>
    </w:p>
    <w:p w:rsidR="00A241E5" w:rsidRDefault="00A241E5">
      <w:pPr>
        <w:shd w:val="clear" w:color="auto" w:fill="FFFFFF"/>
        <w:rPr>
          <w:rFonts w:eastAsia="Calibri"/>
          <w:sz w:val="24"/>
          <w:szCs w:val="24"/>
        </w:rPr>
      </w:pPr>
    </w:p>
    <w:p w:rsidR="00097611" w:rsidRPr="00692061" w:rsidRDefault="00097611">
      <w:pPr>
        <w:shd w:val="clear" w:color="auto" w:fill="FFFFFF"/>
        <w:rPr>
          <w:rFonts w:eastAsia="Calibri"/>
          <w:sz w:val="24"/>
          <w:szCs w:val="24"/>
        </w:rPr>
      </w:pPr>
    </w:p>
    <w:p w:rsidR="00A241E5" w:rsidRPr="0005719F" w:rsidRDefault="0005719F" w:rsidP="00692061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PREDMET:</w:t>
      </w:r>
      <w:r w:rsidR="006F35C4">
        <w:rPr>
          <w:rFonts w:eastAsia="Calibri"/>
          <w:b/>
          <w:sz w:val="28"/>
          <w:szCs w:val="28"/>
        </w:rPr>
        <w:t xml:space="preserve"> Obrazloženje i</w:t>
      </w:r>
      <w:r w:rsidR="00B53A17" w:rsidRPr="0005719F">
        <w:rPr>
          <w:rFonts w:eastAsia="Calibri"/>
          <w:b/>
          <w:sz w:val="28"/>
          <w:szCs w:val="28"/>
        </w:rPr>
        <w:t xml:space="preserve">zvještaja o izvršenju financijskog plana </w:t>
      </w:r>
      <w:r w:rsidR="003A35F5">
        <w:rPr>
          <w:rFonts w:eastAsia="Calibri"/>
          <w:b/>
          <w:sz w:val="28"/>
          <w:szCs w:val="28"/>
        </w:rPr>
        <w:t>za 2024</w:t>
      </w:r>
      <w:r w:rsidR="00B53A17" w:rsidRPr="0005719F">
        <w:rPr>
          <w:rFonts w:eastAsia="Calibri"/>
          <w:b/>
          <w:sz w:val="28"/>
          <w:szCs w:val="28"/>
        </w:rPr>
        <w:t>.g</w:t>
      </w:r>
    </w:p>
    <w:p w:rsidR="00A241E5" w:rsidRPr="0005719F" w:rsidRDefault="0044217C" w:rsidP="0005719F">
      <w:pPr>
        <w:pStyle w:val="Odlomakpopis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za razdoblje 01.01.2024. – 31.12</w:t>
      </w:r>
      <w:r w:rsidR="003A35F5">
        <w:rPr>
          <w:rFonts w:eastAsia="Calibri"/>
          <w:color w:val="000000"/>
          <w:sz w:val="28"/>
          <w:szCs w:val="28"/>
        </w:rPr>
        <w:t>.2024</w:t>
      </w:r>
      <w:r w:rsidR="00B53A17" w:rsidRPr="0005719F">
        <w:rPr>
          <w:rFonts w:eastAsia="Calibri"/>
          <w:color w:val="000000"/>
          <w:sz w:val="28"/>
          <w:szCs w:val="28"/>
        </w:rPr>
        <w:t>.</w:t>
      </w:r>
    </w:p>
    <w:p w:rsidR="0005719F" w:rsidRPr="0005719F" w:rsidRDefault="0005719F" w:rsidP="0005719F">
      <w:pPr>
        <w:pStyle w:val="Odlomakpopisa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40"/>
        <w:rPr>
          <w:color w:val="000000"/>
          <w:sz w:val="28"/>
          <w:szCs w:val="28"/>
        </w:rPr>
      </w:pPr>
    </w:p>
    <w:p w:rsidR="00A241E5" w:rsidRPr="0005719F" w:rsidRDefault="00B53A17" w:rsidP="00164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rFonts w:eastAsia="Calibri"/>
          <w:color w:val="000000"/>
          <w:sz w:val="24"/>
          <w:szCs w:val="24"/>
        </w:rPr>
        <w:t xml:space="preserve">Obveza izrade polugodišnjeg i godišnjeg izvještaja o izvršenju financijskog plana proračunskih korisnika </w:t>
      </w:r>
      <w:r w:rsidR="00692061" w:rsidRPr="0005719F">
        <w:rPr>
          <w:rFonts w:eastAsia="Calibri"/>
          <w:color w:val="000000"/>
          <w:sz w:val="24"/>
          <w:szCs w:val="24"/>
        </w:rPr>
        <w:t xml:space="preserve">sukladna je </w:t>
      </w:r>
      <w:r w:rsidR="007F3710" w:rsidRPr="0005719F">
        <w:rPr>
          <w:rFonts w:eastAsia="Calibri"/>
          <w:color w:val="000000"/>
          <w:sz w:val="24"/>
          <w:szCs w:val="24"/>
        </w:rPr>
        <w:t xml:space="preserve">člancima </w:t>
      </w:r>
      <w:r w:rsidR="00692061" w:rsidRPr="0005719F">
        <w:rPr>
          <w:rFonts w:eastAsia="Calibri"/>
          <w:color w:val="000000"/>
          <w:sz w:val="24"/>
          <w:szCs w:val="24"/>
        </w:rPr>
        <w:t>81</w:t>
      </w:r>
      <w:r w:rsidR="007F3710" w:rsidRPr="0005719F">
        <w:rPr>
          <w:rFonts w:eastAsia="Calibri"/>
          <w:color w:val="000000"/>
          <w:sz w:val="24"/>
          <w:szCs w:val="24"/>
        </w:rPr>
        <w:t>.-86.</w:t>
      </w:r>
      <w:r w:rsidR="005E48F4">
        <w:rPr>
          <w:rFonts w:eastAsia="Calibri"/>
          <w:color w:val="000000"/>
          <w:sz w:val="24"/>
          <w:szCs w:val="24"/>
        </w:rPr>
        <w:t xml:space="preserve"> Zakona o proračunu (NN </w:t>
      </w:r>
      <w:r w:rsidR="00692061" w:rsidRPr="0005719F">
        <w:rPr>
          <w:rFonts w:eastAsia="Calibri"/>
          <w:color w:val="000000"/>
          <w:sz w:val="24"/>
          <w:szCs w:val="24"/>
        </w:rPr>
        <w:t>144/2021)</w:t>
      </w:r>
      <w:r w:rsidR="00672700">
        <w:rPr>
          <w:rFonts w:eastAsia="Calibri"/>
          <w:color w:val="000000"/>
          <w:sz w:val="24"/>
          <w:szCs w:val="24"/>
        </w:rPr>
        <w:t xml:space="preserve"> te Pravilnika o polugodišnjem i godišnjem izvještaju o izvršenju proračuna i financijskog plana</w:t>
      </w:r>
      <w:r w:rsidR="005E48F4">
        <w:rPr>
          <w:rFonts w:eastAsia="Calibri"/>
          <w:color w:val="000000"/>
          <w:sz w:val="24"/>
          <w:szCs w:val="24"/>
        </w:rPr>
        <w:t xml:space="preserve"> (NN 85/2023).</w:t>
      </w:r>
    </w:p>
    <w:p w:rsidR="00A241E5" w:rsidRPr="0005719F" w:rsidRDefault="001642D3" w:rsidP="00164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Obzirom da i</w:t>
      </w:r>
      <w:r w:rsidR="00B53A17" w:rsidRPr="0005719F">
        <w:rPr>
          <w:rFonts w:eastAsia="Calibri"/>
          <w:color w:val="000000"/>
          <w:sz w:val="24"/>
          <w:szCs w:val="24"/>
        </w:rPr>
        <w:t>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:rsidR="007F3710" w:rsidRPr="0005719F" w:rsidRDefault="007F3710" w:rsidP="00164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sz w:val="24"/>
          <w:szCs w:val="24"/>
        </w:rPr>
        <w:t xml:space="preserve">Prema člancima 81. st.1. </w:t>
      </w:r>
      <w:r w:rsidR="006702BD">
        <w:rPr>
          <w:sz w:val="24"/>
          <w:szCs w:val="24"/>
        </w:rPr>
        <w:t>ZOP-a, polugodišnji i godišnji i</w:t>
      </w:r>
      <w:r w:rsidRPr="0005719F">
        <w:rPr>
          <w:sz w:val="24"/>
          <w:szCs w:val="24"/>
        </w:rPr>
        <w:t xml:space="preserve">zvještaj o izvršenju financijskog plana </w:t>
      </w:r>
      <w:r w:rsidRPr="0005719F">
        <w:rPr>
          <w:rFonts w:eastAsia="Calibri"/>
          <w:color w:val="000000"/>
          <w:sz w:val="24"/>
          <w:szCs w:val="24"/>
        </w:rPr>
        <w:t xml:space="preserve">VII. gimnazije, Zagreb, </w:t>
      </w:r>
      <w:r w:rsidR="00832FC8">
        <w:rPr>
          <w:rFonts w:eastAsia="Calibri"/>
          <w:color w:val="000000"/>
          <w:sz w:val="24"/>
          <w:szCs w:val="24"/>
        </w:rPr>
        <w:t>sadrži</w:t>
      </w:r>
      <w:r w:rsidRPr="0005719F">
        <w:rPr>
          <w:rFonts w:eastAsia="Calibri"/>
          <w:color w:val="000000"/>
          <w:sz w:val="24"/>
          <w:szCs w:val="24"/>
        </w:rPr>
        <w:t xml:space="preserve">: 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opći dio proračuna,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posebni dio proračuna,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obrazloženje ostvarenja prihoda i primitaka te realizacija rashoda i izdataka i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posebne izvještaje</w:t>
      </w:r>
      <w:r w:rsidR="00832FC8">
        <w:rPr>
          <w:rFonts w:ascii="Times New Roman" w:hAnsi="Times New Roman" w:cs="Times New Roman"/>
          <w:sz w:val="24"/>
          <w:szCs w:val="24"/>
        </w:rPr>
        <w:t>.</w:t>
      </w:r>
    </w:p>
    <w:p w:rsidR="007F3710" w:rsidRPr="0005719F" w:rsidRDefault="007F3710" w:rsidP="001642D3">
      <w:pPr>
        <w:spacing w:line="360" w:lineRule="auto"/>
        <w:jc w:val="both"/>
        <w:rPr>
          <w:sz w:val="24"/>
          <w:szCs w:val="24"/>
        </w:rPr>
      </w:pPr>
      <w:r w:rsidRPr="0005719F">
        <w:rPr>
          <w:sz w:val="24"/>
          <w:szCs w:val="24"/>
        </w:rPr>
        <w:t>Opći dio polugodišnjeg i godišnjeg izvještaja o izvršenju financijskog plana proračunskog korisnika sadrži:</w:t>
      </w:r>
    </w:p>
    <w:p w:rsidR="007F3710" w:rsidRPr="0005719F" w:rsidRDefault="001B4847" w:rsidP="001642D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F3710" w:rsidRPr="0005719F">
        <w:rPr>
          <w:rFonts w:ascii="Times New Roman" w:hAnsi="Times New Roman" w:cs="Times New Roman"/>
          <w:sz w:val="24"/>
          <w:szCs w:val="24"/>
        </w:rPr>
        <w:t>ažetak Računa prihoda i rash</w:t>
      </w:r>
      <w:r>
        <w:rPr>
          <w:rFonts w:ascii="Times New Roman" w:hAnsi="Times New Roman" w:cs="Times New Roman"/>
          <w:sz w:val="24"/>
          <w:szCs w:val="24"/>
        </w:rPr>
        <w:t>oda i Račun financiranja i</w:t>
      </w:r>
    </w:p>
    <w:p w:rsidR="007F3710" w:rsidRPr="0005719F" w:rsidRDefault="007F3710" w:rsidP="001642D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Račun prihoda i rashoda i Račun financiranja</w:t>
      </w:r>
      <w:r w:rsidR="001B4847">
        <w:rPr>
          <w:rFonts w:ascii="Times New Roman" w:hAnsi="Times New Roman" w:cs="Times New Roman"/>
          <w:sz w:val="24"/>
          <w:szCs w:val="24"/>
        </w:rPr>
        <w:t>.</w:t>
      </w:r>
    </w:p>
    <w:p w:rsidR="00A241E5" w:rsidRDefault="00B53A17" w:rsidP="001642D3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>Obvezno je sastavljanje polugod</w:t>
      </w:r>
      <w:r w:rsidR="00FD5ACF">
        <w:rPr>
          <w:rFonts w:eastAsia="Calibri"/>
          <w:sz w:val="24"/>
          <w:szCs w:val="24"/>
        </w:rPr>
        <w:t>išnjeg i godišnjeg izvještaja k</w:t>
      </w:r>
      <w:r w:rsidRPr="0005719F">
        <w:rPr>
          <w:rFonts w:eastAsia="Calibri"/>
          <w:sz w:val="24"/>
          <w:szCs w:val="24"/>
        </w:rPr>
        <w:t>ako bi potvrdno odgovorili n</w:t>
      </w:r>
      <w:r w:rsidR="0048214D">
        <w:rPr>
          <w:rFonts w:eastAsia="Calibri"/>
          <w:sz w:val="24"/>
          <w:szCs w:val="24"/>
        </w:rPr>
        <w:t>a pitanja</w:t>
      </w:r>
      <w:r w:rsidRPr="0005719F">
        <w:rPr>
          <w:rFonts w:eastAsia="Calibri"/>
          <w:sz w:val="24"/>
          <w:szCs w:val="24"/>
        </w:rPr>
        <w:t xml:space="preserve"> br. 62.</w:t>
      </w:r>
      <w:r w:rsidR="001B4847">
        <w:rPr>
          <w:rFonts w:eastAsia="Calibri"/>
          <w:sz w:val="24"/>
          <w:szCs w:val="24"/>
        </w:rPr>
        <w:t>-67</w:t>
      </w:r>
      <w:r w:rsidR="0048214D">
        <w:rPr>
          <w:rFonts w:eastAsia="Calibri"/>
          <w:sz w:val="24"/>
          <w:szCs w:val="24"/>
        </w:rPr>
        <w:t>.</w:t>
      </w:r>
      <w:r w:rsidRPr="0005719F">
        <w:rPr>
          <w:rFonts w:eastAsia="Calibri"/>
          <w:sz w:val="24"/>
          <w:szCs w:val="24"/>
        </w:rPr>
        <w:t xml:space="preserve"> Upitnika o fiskalnoj odgovornosti. Izvještaj o izvršenju financijskog plana predstavlja se Školsko</w:t>
      </w:r>
      <w:r w:rsidR="00692061" w:rsidRPr="0005719F">
        <w:rPr>
          <w:rFonts w:eastAsia="Calibri"/>
          <w:sz w:val="24"/>
          <w:szCs w:val="24"/>
        </w:rPr>
        <w:t>m odboru te dostavlja osnivaču G</w:t>
      </w:r>
      <w:r w:rsidRPr="0005719F">
        <w:rPr>
          <w:rFonts w:eastAsia="Calibri"/>
          <w:sz w:val="24"/>
          <w:szCs w:val="24"/>
        </w:rPr>
        <w:t xml:space="preserve">radu </w:t>
      </w:r>
      <w:r w:rsidR="00692061" w:rsidRPr="0005719F">
        <w:rPr>
          <w:rFonts w:eastAsia="Calibri"/>
          <w:sz w:val="24"/>
          <w:szCs w:val="24"/>
        </w:rPr>
        <w:t>Zagrebu</w:t>
      </w:r>
      <w:r w:rsidRPr="0005719F">
        <w:rPr>
          <w:rFonts w:eastAsia="Calibri"/>
          <w:sz w:val="24"/>
          <w:szCs w:val="24"/>
        </w:rPr>
        <w:t xml:space="preserve">. </w:t>
      </w:r>
    </w:p>
    <w:p w:rsidR="0073192F" w:rsidRDefault="0073192F" w:rsidP="001642D3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A241E5" w:rsidRPr="00097611" w:rsidRDefault="00B53A17" w:rsidP="000571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97611">
        <w:rPr>
          <w:rFonts w:eastAsia="Calibri"/>
          <w:b/>
          <w:color w:val="000000"/>
          <w:sz w:val="28"/>
          <w:szCs w:val="28"/>
        </w:rPr>
        <w:lastRenderedPageBreak/>
        <w:t xml:space="preserve">OPĆI DIO </w:t>
      </w:r>
    </w:p>
    <w:p w:rsidR="00A241E5" w:rsidRPr="0005719F" w:rsidRDefault="00A241E5" w:rsidP="0005719F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342370" w:rsidRDefault="00540465" w:rsidP="0005719F">
      <w:pPr>
        <w:spacing w:line="360" w:lineRule="auto"/>
        <w:jc w:val="center"/>
        <w:rPr>
          <w:rFonts w:eastAsia="Calibri"/>
        </w:rPr>
      </w:pPr>
      <w:r w:rsidRPr="00540465">
        <w:rPr>
          <w:rFonts w:eastAsia="Calibri"/>
          <w:noProof/>
        </w:rPr>
        <w:drawing>
          <wp:inline distT="0" distB="0" distL="0" distR="0" wp14:anchorId="5CE59920" wp14:editId="6F304B8C">
            <wp:extent cx="5762625" cy="1762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E5" w:rsidRDefault="00B53A17" w:rsidP="0005719F">
      <w:pPr>
        <w:spacing w:line="360" w:lineRule="auto"/>
        <w:jc w:val="center"/>
        <w:rPr>
          <w:rFonts w:eastAsia="Calibri"/>
        </w:rPr>
      </w:pPr>
      <w:r w:rsidRPr="00914F62">
        <w:rPr>
          <w:rFonts w:eastAsia="Calibri"/>
        </w:rPr>
        <w:t xml:space="preserve">Tablica 1. </w:t>
      </w:r>
      <w:r w:rsidR="00342370">
        <w:rPr>
          <w:rFonts w:eastAsia="Calibri"/>
        </w:rPr>
        <w:t>SAŽETAK RAČUNA PRIHODA I RASHODA</w:t>
      </w:r>
    </w:p>
    <w:p w:rsidR="00E26F6D" w:rsidRDefault="00E26F6D" w:rsidP="00482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A241E5" w:rsidRDefault="00B53A17" w:rsidP="00482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rFonts w:eastAsia="Calibri"/>
          <w:color w:val="000000"/>
          <w:sz w:val="24"/>
          <w:szCs w:val="24"/>
        </w:rPr>
        <w:t>U tablici kako je navedeno, prikaza</w:t>
      </w:r>
      <w:r w:rsidR="00F56F2E" w:rsidRPr="0005719F">
        <w:rPr>
          <w:rFonts w:eastAsia="Calibri"/>
          <w:color w:val="000000"/>
          <w:sz w:val="24"/>
          <w:szCs w:val="24"/>
        </w:rPr>
        <w:t xml:space="preserve">ni su ostvareni </w:t>
      </w:r>
      <w:r w:rsidR="00342370">
        <w:rPr>
          <w:rFonts w:eastAsia="Calibri"/>
          <w:color w:val="000000"/>
          <w:sz w:val="24"/>
          <w:szCs w:val="24"/>
        </w:rPr>
        <w:t>ukupni rashodi na dan 30.06.2023</w:t>
      </w:r>
      <w:r w:rsidRPr="0005719F">
        <w:rPr>
          <w:rFonts w:eastAsia="Calibri"/>
          <w:color w:val="000000"/>
          <w:sz w:val="24"/>
          <w:szCs w:val="24"/>
        </w:rPr>
        <w:t xml:space="preserve">. godine u iznosu </w:t>
      </w:r>
      <w:r w:rsidR="00342370">
        <w:rPr>
          <w:rFonts w:eastAsia="Calibri"/>
          <w:color w:val="000000"/>
          <w:sz w:val="24"/>
          <w:szCs w:val="24"/>
        </w:rPr>
        <w:t>649.757,20</w:t>
      </w:r>
      <w:r w:rsidRPr="0005719F">
        <w:rPr>
          <w:rFonts w:eastAsia="Calibri"/>
          <w:color w:val="000000"/>
          <w:sz w:val="24"/>
          <w:szCs w:val="24"/>
        </w:rPr>
        <w:t xml:space="preserve"> </w:t>
      </w:r>
      <w:r w:rsidR="00F56F2E" w:rsidRPr="0005719F">
        <w:rPr>
          <w:rFonts w:eastAsia="Calibri"/>
          <w:color w:val="000000"/>
          <w:sz w:val="24"/>
          <w:szCs w:val="24"/>
        </w:rPr>
        <w:t>€, a ost</w:t>
      </w:r>
      <w:r w:rsidR="00342370">
        <w:rPr>
          <w:rFonts w:eastAsia="Calibri"/>
          <w:color w:val="000000"/>
          <w:sz w:val="24"/>
          <w:szCs w:val="24"/>
        </w:rPr>
        <w:t>vareni rashodi na dan 30.06.2024</w:t>
      </w:r>
      <w:r w:rsidRPr="0005719F">
        <w:rPr>
          <w:rFonts w:eastAsia="Calibri"/>
          <w:color w:val="000000"/>
          <w:sz w:val="24"/>
          <w:szCs w:val="24"/>
        </w:rPr>
        <w:t xml:space="preserve">.godine iznose </w:t>
      </w:r>
      <w:r w:rsidR="00342370">
        <w:rPr>
          <w:rFonts w:eastAsia="Calibri"/>
          <w:color w:val="000000"/>
          <w:sz w:val="24"/>
          <w:szCs w:val="24"/>
        </w:rPr>
        <w:t>938.122,37</w:t>
      </w:r>
      <w:r w:rsidR="00F56F2E" w:rsidRPr="0005719F">
        <w:rPr>
          <w:rFonts w:eastAsia="Calibri"/>
          <w:color w:val="000000"/>
          <w:sz w:val="24"/>
          <w:szCs w:val="24"/>
        </w:rPr>
        <w:t xml:space="preserve"> € </w:t>
      </w:r>
      <w:r w:rsidRPr="0005719F">
        <w:rPr>
          <w:rFonts w:eastAsia="Calibri"/>
          <w:color w:val="000000"/>
          <w:sz w:val="24"/>
          <w:szCs w:val="24"/>
        </w:rPr>
        <w:t xml:space="preserve">što je za </w:t>
      </w:r>
      <w:r w:rsidR="00342370">
        <w:rPr>
          <w:rFonts w:eastAsia="Calibri"/>
          <w:color w:val="000000"/>
          <w:sz w:val="24"/>
          <w:szCs w:val="24"/>
        </w:rPr>
        <w:t>45</w:t>
      </w:r>
      <w:r w:rsidR="00F56F2E" w:rsidRPr="0005719F">
        <w:rPr>
          <w:rFonts w:eastAsia="Calibri"/>
          <w:color w:val="000000"/>
          <w:sz w:val="24"/>
          <w:szCs w:val="24"/>
        </w:rPr>
        <w:t xml:space="preserve"> % više </w:t>
      </w:r>
      <w:r w:rsidRPr="0005719F">
        <w:rPr>
          <w:rFonts w:eastAsia="Calibri"/>
          <w:color w:val="000000"/>
          <w:sz w:val="24"/>
          <w:szCs w:val="24"/>
        </w:rPr>
        <w:t>u odnosu na prethodnu godinu.</w:t>
      </w:r>
    </w:p>
    <w:p w:rsidR="00A241E5" w:rsidRDefault="00B53A17" w:rsidP="0048214D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rFonts w:eastAsia="Calibri"/>
          <w:color w:val="000000"/>
          <w:sz w:val="24"/>
          <w:szCs w:val="24"/>
        </w:rPr>
        <w:t>Planirani rashodi za</w:t>
      </w:r>
      <w:r w:rsidR="00F56F2E" w:rsidRPr="0005719F">
        <w:rPr>
          <w:rFonts w:eastAsia="Calibri"/>
          <w:color w:val="000000"/>
          <w:sz w:val="24"/>
          <w:szCs w:val="24"/>
        </w:rPr>
        <w:t xml:space="preserve"> cijelu</w:t>
      </w:r>
      <w:r w:rsidRPr="0005719F">
        <w:rPr>
          <w:rFonts w:eastAsia="Calibri"/>
          <w:color w:val="000000"/>
          <w:sz w:val="24"/>
          <w:szCs w:val="24"/>
        </w:rPr>
        <w:t xml:space="preserve"> 2</w:t>
      </w:r>
      <w:r w:rsidR="00342370">
        <w:rPr>
          <w:rFonts w:eastAsia="Calibri"/>
          <w:color w:val="000000"/>
          <w:sz w:val="24"/>
          <w:szCs w:val="24"/>
        </w:rPr>
        <w:t>024</w:t>
      </w:r>
      <w:r w:rsidRPr="0005719F">
        <w:rPr>
          <w:rFonts w:eastAsia="Calibri"/>
          <w:color w:val="000000"/>
          <w:sz w:val="24"/>
          <w:szCs w:val="24"/>
        </w:rPr>
        <w:t xml:space="preserve">. godinu iznose </w:t>
      </w:r>
      <w:r w:rsidR="00F56F2E" w:rsidRPr="0005719F">
        <w:rPr>
          <w:rFonts w:eastAsia="Calibri"/>
          <w:color w:val="000000"/>
          <w:sz w:val="24"/>
          <w:szCs w:val="24"/>
        </w:rPr>
        <w:t>1.</w:t>
      </w:r>
      <w:r w:rsidR="00342370">
        <w:rPr>
          <w:rFonts w:eastAsia="Calibri"/>
          <w:color w:val="000000"/>
          <w:sz w:val="24"/>
          <w:szCs w:val="24"/>
        </w:rPr>
        <w:t>611.100</w:t>
      </w:r>
      <w:r w:rsidR="00F56F2E" w:rsidRPr="0005719F">
        <w:rPr>
          <w:rFonts w:eastAsia="Calibri"/>
          <w:color w:val="000000"/>
          <w:sz w:val="24"/>
          <w:szCs w:val="24"/>
        </w:rPr>
        <w:t>,00 €</w:t>
      </w:r>
      <w:r w:rsidRPr="0005719F">
        <w:rPr>
          <w:rFonts w:eastAsia="Calibri"/>
          <w:color w:val="000000"/>
          <w:sz w:val="24"/>
          <w:szCs w:val="24"/>
        </w:rPr>
        <w:t xml:space="preserve">, a ostvareno je </w:t>
      </w:r>
      <w:r w:rsidR="00F56F2E" w:rsidRPr="0005719F">
        <w:rPr>
          <w:rFonts w:eastAsia="Calibri"/>
          <w:color w:val="000000"/>
          <w:sz w:val="24"/>
          <w:szCs w:val="24"/>
        </w:rPr>
        <w:t xml:space="preserve">do 30.06.2023. godine </w:t>
      </w:r>
      <w:r w:rsidR="00342370">
        <w:rPr>
          <w:rFonts w:eastAsia="Calibri"/>
          <w:color w:val="000000"/>
          <w:sz w:val="24"/>
          <w:szCs w:val="24"/>
        </w:rPr>
        <w:t>938.122,37</w:t>
      </w:r>
      <w:r w:rsidR="00F56F2E" w:rsidRPr="0005719F">
        <w:rPr>
          <w:rFonts w:eastAsia="Calibri"/>
          <w:color w:val="000000"/>
          <w:sz w:val="24"/>
          <w:szCs w:val="24"/>
        </w:rPr>
        <w:t xml:space="preserve"> €</w:t>
      </w:r>
      <w:r w:rsidR="001B4847">
        <w:rPr>
          <w:rFonts w:eastAsia="Calibri"/>
          <w:color w:val="000000"/>
          <w:sz w:val="24"/>
          <w:szCs w:val="24"/>
        </w:rPr>
        <w:t xml:space="preserve"> </w:t>
      </w:r>
      <w:r w:rsidR="00342370">
        <w:rPr>
          <w:rFonts w:eastAsia="Calibri"/>
          <w:color w:val="000000"/>
          <w:sz w:val="24"/>
          <w:szCs w:val="24"/>
        </w:rPr>
        <w:t>.</w:t>
      </w:r>
    </w:p>
    <w:p w:rsidR="00E26F6D" w:rsidRDefault="00E26F6D" w:rsidP="00E26F6D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 xml:space="preserve">U tablici </w:t>
      </w:r>
      <w:r>
        <w:rPr>
          <w:rFonts w:eastAsia="Calibri"/>
          <w:sz w:val="24"/>
          <w:szCs w:val="24"/>
        </w:rPr>
        <w:t>Računa prihoda i rashoda</w:t>
      </w:r>
      <w:r w:rsidRPr="0005719F">
        <w:rPr>
          <w:rFonts w:eastAsia="Calibri"/>
          <w:sz w:val="24"/>
          <w:szCs w:val="24"/>
        </w:rPr>
        <w:t xml:space="preserve"> prikazani su i ostvareni</w:t>
      </w:r>
      <w:r w:rsidR="00342370">
        <w:rPr>
          <w:rFonts w:eastAsia="Calibri"/>
          <w:sz w:val="24"/>
          <w:szCs w:val="24"/>
        </w:rPr>
        <w:t xml:space="preserve"> prihodi i primici do 30.06.2023</w:t>
      </w:r>
      <w:r w:rsidRPr="0005719F">
        <w:rPr>
          <w:rFonts w:eastAsia="Calibri"/>
          <w:sz w:val="24"/>
          <w:szCs w:val="24"/>
        </w:rPr>
        <w:t>. god</w:t>
      </w:r>
      <w:r w:rsidR="00342370">
        <w:rPr>
          <w:rFonts w:eastAsia="Calibri"/>
          <w:sz w:val="24"/>
          <w:szCs w:val="24"/>
        </w:rPr>
        <w:t>ine te planirani prihodi za 2024</w:t>
      </w:r>
      <w:r w:rsidRPr="0005719F">
        <w:rPr>
          <w:rFonts w:eastAsia="Calibri"/>
          <w:sz w:val="24"/>
          <w:szCs w:val="24"/>
        </w:rPr>
        <w:t>. godinu te ostvareni</w:t>
      </w:r>
      <w:r w:rsidR="00342370">
        <w:rPr>
          <w:rFonts w:eastAsia="Calibri"/>
          <w:sz w:val="24"/>
          <w:szCs w:val="24"/>
        </w:rPr>
        <w:t xml:space="preserve"> prihodi i primici do 30.06.2024</w:t>
      </w:r>
      <w:r w:rsidRPr="0005719F">
        <w:rPr>
          <w:rFonts w:eastAsia="Calibri"/>
          <w:sz w:val="24"/>
          <w:szCs w:val="24"/>
        </w:rPr>
        <w:t>.godine.</w:t>
      </w:r>
    </w:p>
    <w:p w:rsidR="00E26F6D" w:rsidRDefault="00E26F6D" w:rsidP="0048214D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D03DB5" w:rsidRDefault="00DC4466" w:rsidP="00DC4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323A74" wp14:editId="7C9FFF05">
            <wp:extent cx="4572000" cy="2743200"/>
            <wp:effectExtent l="0" t="0" r="19050" b="1905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4466" w:rsidRPr="0005719F" w:rsidRDefault="00DC4466" w:rsidP="00DC4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914F62">
        <w:rPr>
          <w:rFonts w:eastAsia="Calibri"/>
          <w:color w:val="000000"/>
        </w:rPr>
        <w:t>Grafikon 1. Račun prihoda i rashoda</w:t>
      </w:r>
      <w:r>
        <w:rPr>
          <w:rFonts w:eastAsia="Calibri"/>
          <w:color w:val="000000"/>
        </w:rPr>
        <w:t xml:space="preserve"> 30.06.2024.</w:t>
      </w:r>
    </w:p>
    <w:p w:rsidR="00D03DB5" w:rsidRPr="0005719F" w:rsidRDefault="00D03DB5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4"/>
          <w:szCs w:val="24"/>
        </w:rPr>
      </w:pPr>
    </w:p>
    <w:p w:rsidR="00A241E5" w:rsidRPr="00914F62" w:rsidRDefault="000557E6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.</w:t>
      </w:r>
    </w:p>
    <w:p w:rsidR="001B4847" w:rsidRPr="0005719F" w:rsidRDefault="00DC4466" w:rsidP="000532C4">
      <w:pPr>
        <w:spacing w:line="360" w:lineRule="auto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lastRenderedPageBreak/>
        <w:t>Ostvareni su primici u 2023.godini u iznosu 643.769,70 € , a ostvareni primici u 2024</w:t>
      </w:r>
      <w:r w:rsidR="001B4847" w:rsidRPr="0005719F">
        <w:rPr>
          <w:rFonts w:eastAsia="Calibri"/>
          <w:sz w:val="24"/>
          <w:szCs w:val="24"/>
        </w:rPr>
        <w:t xml:space="preserve">. godini iznose </w:t>
      </w:r>
      <w:r>
        <w:rPr>
          <w:rFonts w:eastAsia="Calibri"/>
          <w:sz w:val="24"/>
          <w:szCs w:val="24"/>
        </w:rPr>
        <w:t>944.598,83</w:t>
      </w:r>
      <w:r w:rsidR="001B4847" w:rsidRPr="0005719F">
        <w:rPr>
          <w:rFonts w:eastAsia="Calibri"/>
          <w:sz w:val="24"/>
          <w:szCs w:val="24"/>
        </w:rPr>
        <w:t xml:space="preserve"> € što iznosi </w:t>
      </w:r>
      <w:r>
        <w:rPr>
          <w:rFonts w:eastAsia="Calibri"/>
          <w:sz w:val="24"/>
          <w:szCs w:val="24"/>
        </w:rPr>
        <w:t>4</w:t>
      </w:r>
      <w:r w:rsidR="00563932">
        <w:rPr>
          <w:rFonts w:eastAsia="Calibri"/>
          <w:sz w:val="24"/>
          <w:szCs w:val="24"/>
        </w:rPr>
        <w:t>6,73</w:t>
      </w:r>
      <w:r w:rsidR="001B4847" w:rsidRPr="0005719F">
        <w:rPr>
          <w:rFonts w:eastAsia="Calibri"/>
          <w:sz w:val="24"/>
          <w:szCs w:val="24"/>
        </w:rPr>
        <w:t xml:space="preserve"> % više u odnosu na prethodnu godinu.</w:t>
      </w:r>
    </w:p>
    <w:p w:rsidR="001B4847" w:rsidRDefault="00DC4466" w:rsidP="00053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Planirani prihodi za 2024</w:t>
      </w:r>
      <w:r w:rsidR="001B4847" w:rsidRPr="0005719F">
        <w:rPr>
          <w:rFonts w:eastAsia="Calibri"/>
          <w:color w:val="000000"/>
          <w:sz w:val="24"/>
          <w:szCs w:val="24"/>
        </w:rPr>
        <w:t>. godinu iznose 1.</w:t>
      </w:r>
      <w:r>
        <w:rPr>
          <w:rFonts w:eastAsia="Calibri"/>
          <w:color w:val="000000"/>
          <w:sz w:val="24"/>
          <w:szCs w:val="24"/>
        </w:rPr>
        <w:t>610.100</w:t>
      </w:r>
      <w:r w:rsidR="001B4847" w:rsidRPr="0005719F">
        <w:rPr>
          <w:rFonts w:eastAsia="Calibri"/>
          <w:color w:val="000000"/>
          <w:sz w:val="24"/>
          <w:szCs w:val="24"/>
        </w:rPr>
        <w:t>,00</w:t>
      </w:r>
      <w:r>
        <w:rPr>
          <w:rFonts w:eastAsia="Calibri"/>
          <w:color w:val="000000"/>
          <w:sz w:val="24"/>
          <w:szCs w:val="24"/>
        </w:rPr>
        <w:t xml:space="preserve"> €, a ostvareno je do 30.06.2024</w:t>
      </w:r>
      <w:r w:rsidR="001B4847" w:rsidRPr="0005719F">
        <w:rPr>
          <w:rFonts w:eastAsia="Calibri"/>
          <w:color w:val="000000"/>
          <w:sz w:val="24"/>
          <w:szCs w:val="24"/>
        </w:rPr>
        <w:t xml:space="preserve">. godine </w:t>
      </w:r>
      <w:r>
        <w:rPr>
          <w:rFonts w:eastAsia="Calibri"/>
          <w:sz w:val="24"/>
          <w:szCs w:val="24"/>
        </w:rPr>
        <w:t>944.598,83</w:t>
      </w:r>
      <w:r w:rsidRPr="0005719F">
        <w:rPr>
          <w:rFonts w:eastAsia="Calibri"/>
          <w:sz w:val="24"/>
          <w:szCs w:val="24"/>
        </w:rPr>
        <w:t xml:space="preserve"> </w:t>
      </w:r>
      <w:r w:rsidR="001B4847" w:rsidRPr="0005719F">
        <w:rPr>
          <w:rFonts w:eastAsia="Calibri"/>
          <w:color w:val="000000"/>
          <w:sz w:val="24"/>
          <w:szCs w:val="24"/>
        </w:rPr>
        <w:t xml:space="preserve">€ </w:t>
      </w:r>
      <w:r w:rsidR="001B4847">
        <w:rPr>
          <w:rFonts w:eastAsia="Calibri"/>
          <w:color w:val="000000"/>
          <w:sz w:val="24"/>
          <w:szCs w:val="24"/>
        </w:rPr>
        <w:t xml:space="preserve"> te je iz i</w:t>
      </w:r>
      <w:r w:rsidR="001B4847" w:rsidRPr="0005719F">
        <w:rPr>
          <w:rFonts w:eastAsia="Calibri"/>
          <w:color w:val="000000"/>
          <w:sz w:val="24"/>
          <w:szCs w:val="24"/>
        </w:rPr>
        <w:t xml:space="preserve">zvještaja vidljivo da je to ostvarenje od </w:t>
      </w:r>
      <w:r w:rsidR="00563932">
        <w:rPr>
          <w:rFonts w:eastAsia="Calibri"/>
          <w:color w:val="000000"/>
          <w:sz w:val="24"/>
          <w:szCs w:val="24"/>
        </w:rPr>
        <w:t>58,67</w:t>
      </w:r>
      <w:r w:rsidR="001B4847" w:rsidRPr="0005719F">
        <w:rPr>
          <w:rFonts w:eastAsia="Calibri"/>
          <w:color w:val="000000"/>
          <w:sz w:val="24"/>
          <w:szCs w:val="24"/>
        </w:rPr>
        <w:t xml:space="preserve"> % planiranih prihoda.</w:t>
      </w:r>
    </w:p>
    <w:p w:rsidR="00E26F6D" w:rsidRPr="0005719F" w:rsidRDefault="00E26F6D" w:rsidP="00053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1B4847" w:rsidRDefault="001B4847" w:rsidP="000532C4">
      <w:pPr>
        <w:spacing w:line="360" w:lineRule="auto"/>
        <w:jc w:val="both"/>
        <w:rPr>
          <w:spacing w:val="3"/>
          <w:sz w:val="24"/>
          <w:szCs w:val="24"/>
        </w:rPr>
      </w:pPr>
      <w:r w:rsidRPr="0048214D">
        <w:rPr>
          <w:sz w:val="24"/>
          <w:szCs w:val="24"/>
        </w:rPr>
        <w:t xml:space="preserve">VII. gimnazija kao proračunski korisnik financira se iz izvora decentraliziranih prihoda i pojačanog standarda Grada </w:t>
      </w:r>
      <w:r w:rsidRPr="0048214D">
        <w:rPr>
          <w:spacing w:val="5"/>
          <w:sz w:val="24"/>
          <w:szCs w:val="24"/>
        </w:rPr>
        <w:t>Zagreba, Pomoći iz drugih proračuna-MZO,</w:t>
      </w:r>
      <w:r w:rsidRPr="0048214D">
        <w:rPr>
          <w:spacing w:val="11"/>
          <w:sz w:val="24"/>
          <w:szCs w:val="24"/>
        </w:rPr>
        <w:t xml:space="preserve"> Pomoći temeljem prijenosa EU sredstva-PK za shemu </w:t>
      </w:r>
      <w:r w:rsidRPr="0048214D">
        <w:rPr>
          <w:spacing w:val="3"/>
          <w:sz w:val="24"/>
          <w:szCs w:val="24"/>
        </w:rPr>
        <w:t>školskog voća, Tekućih donacija, Prihoda za posebne namjene (osiguranje učenika) i Vlastitih prihoda.</w:t>
      </w:r>
    </w:p>
    <w:p w:rsidR="00E26F6D" w:rsidRDefault="00E26F6D" w:rsidP="000532C4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563932" w:rsidRDefault="00563932" w:rsidP="000532C4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Ostvarenje/izvršenje predstavlja ukupno ostvarenje prihoda i primitaka, odnosno ukupno izvršenje rashoda i izdataka prethodne godine, odnosno tekuće godine, s tim da se u redak  preneseni višak/manjak iz prethodne godine  iskazuje preneseni višak koji je iskorišten u tom izvještajnom razdoblju, odnosno preneseni manjak za pokriće u tom izvještajnom razdoblju</w:t>
      </w:r>
      <w:r w:rsidR="00164E44">
        <w:rPr>
          <w:rFonts w:eastAsia="Calibri"/>
          <w:color w:val="000000"/>
          <w:sz w:val="24"/>
          <w:szCs w:val="24"/>
        </w:rPr>
        <w:t>, što ne mora odgovarati ukupno prenesenom višku/manjku prethodnih godina iskazanom u glavnoj knjizi i financijskim izvještajima.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286"/>
        <w:gridCol w:w="2979"/>
      </w:tblGrid>
      <w:tr w:rsidR="00821BF2" w:rsidRPr="009B0C1B" w:rsidTr="00406220">
        <w:tc>
          <w:tcPr>
            <w:tcW w:w="675" w:type="dxa"/>
            <w:shd w:val="clear" w:color="auto" w:fill="A6A6A6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5517" w:type="dxa"/>
            <w:shd w:val="clear" w:color="auto" w:fill="A6A6A6"/>
          </w:tcPr>
          <w:p w:rsidR="00821BF2" w:rsidRPr="009B0C1B" w:rsidRDefault="00821BF2" w:rsidP="00406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3096" w:type="dxa"/>
            <w:shd w:val="clear" w:color="auto" w:fill="A6A6A6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IZNOS</w:t>
            </w:r>
          </w:p>
        </w:tc>
      </w:tr>
      <w:tr w:rsidR="00821BF2" w:rsidRPr="009B0C1B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17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UKUPNI PRIHODI I PRIMICI OD 01.01.-30.06.2024.</w:t>
            </w:r>
          </w:p>
        </w:tc>
        <w:tc>
          <w:tcPr>
            <w:tcW w:w="3096" w:type="dxa"/>
            <w:shd w:val="clear" w:color="auto" w:fill="FFFFFF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944.598,83</w:t>
            </w:r>
          </w:p>
        </w:tc>
      </w:tr>
      <w:tr w:rsidR="00821BF2" w:rsidRPr="009B0C1B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17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UKUPNI RASHODI I IZDACI OD 01.01.-30.06.2024.</w:t>
            </w:r>
          </w:p>
        </w:tc>
        <w:tc>
          <w:tcPr>
            <w:tcW w:w="3096" w:type="dxa"/>
            <w:shd w:val="clear" w:color="auto" w:fill="FFFFFF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938.122,37</w:t>
            </w:r>
          </w:p>
        </w:tc>
      </w:tr>
      <w:tr w:rsidR="00821BF2" w:rsidRPr="004E0671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17" w:type="dxa"/>
            <w:shd w:val="clear" w:color="auto" w:fill="FFFFFF"/>
          </w:tcPr>
          <w:p w:rsidR="00821BF2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VIŠAK PRIHODA I PRIMITAKA</w:t>
            </w:r>
          </w:p>
        </w:tc>
        <w:tc>
          <w:tcPr>
            <w:tcW w:w="3096" w:type="dxa"/>
            <w:shd w:val="clear" w:color="auto" w:fill="FFFFFF"/>
          </w:tcPr>
          <w:p w:rsidR="00821BF2" w:rsidRPr="004E0671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6.476,46</w:t>
            </w:r>
          </w:p>
        </w:tc>
      </w:tr>
      <w:tr w:rsidR="00821BF2" w:rsidRPr="009B0C1B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9B0C1B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7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VIŠAK</w:t>
            </w:r>
            <w:r w:rsidRPr="009B0C1B">
              <w:rPr>
                <w:b/>
                <w:color w:val="000000"/>
                <w:sz w:val="18"/>
                <w:szCs w:val="18"/>
              </w:rPr>
              <w:t xml:space="preserve"> PRIHODA OD POSLOVANJA</w:t>
            </w:r>
            <w:r>
              <w:rPr>
                <w:b/>
                <w:color w:val="000000"/>
                <w:sz w:val="18"/>
                <w:szCs w:val="18"/>
              </w:rPr>
              <w:t xml:space="preserve"> 2023.</w:t>
            </w:r>
          </w:p>
        </w:tc>
        <w:tc>
          <w:tcPr>
            <w:tcW w:w="3096" w:type="dxa"/>
            <w:shd w:val="clear" w:color="auto" w:fill="FFFFFF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41.692,03</w:t>
            </w:r>
          </w:p>
        </w:tc>
      </w:tr>
      <w:tr w:rsidR="00821BF2" w:rsidRPr="009B0C1B" w:rsidTr="00406220">
        <w:tc>
          <w:tcPr>
            <w:tcW w:w="6192" w:type="dxa"/>
            <w:gridSpan w:val="2"/>
            <w:shd w:val="clear" w:color="auto" w:fill="A6A6A6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 xml:space="preserve">UKUPNI </w:t>
            </w:r>
            <w:r>
              <w:rPr>
                <w:b/>
                <w:color w:val="000000"/>
                <w:sz w:val="18"/>
                <w:szCs w:val="18"/>
              </w:rPr>
              <w:t>VIŠAK</w:t>
            </w:r>
            <w:r w:rsidRPr="009B0C1B">
              <w:rPr>
                <w:b/>
                <w:color w:val="000000"/>
                <w:sz w:val="18"/>
                <w:szCs w:val="18"/>
              </w:rPr>
              <w:t xml:space="preserve"> PRIHODA I PRIMITAKA </w:t>
            </w:r>
            <w:r>
              <w:rPr>
                <w:b/>
                <w:color w:val="000000"/>
                <w:sz w:val="18"/>
                <w:szCs w:val="18"/>
              </w:rPr>
              <w:t>30.06.2024.</w:t>
            </w:r>
          </w:p>
        </w:tc>
        <w:tc>
          <w:tcPr>
            <w:tcW w:w="3096" w:type="dxa"/>
            <w:shd w:val="clear" w:color="auto" w:fill="A6A6A6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48.168,49</w:t>
            </w:r>
          </w:p>
        </w:tc>
      </w:tr>
    </w:tbl>
    <w:p w:rsidR="00164E44" w:rsidRPr="004912AD" w:rsidRDefault="00821BF2" w:rsidP="00821BF2">
      <w:pPr>
        <w:spacing w:line="360" w:lineRule="auto"/>
        <w:jc w:val="center"/>
        <w:rPr>
          <w:rFonts w:eastAsia="Calibri"/>
          <w:color w:val="000000"/>
        </w:rPr>
      </w:pPr>
      <w:r w:rsidRPr="004912AD">
        <w:rPr>
          <w:rFonts w:eastAsia="Calibri"/>
          <w:color w:val="000000"/>
        </w:rPr>
        <w:t>Tablica 2. Ukupan višak iskazan u glavnoj knjizi i financijskim izvještajima</w:t>
      </w:r>
    </w:p>
    <w:p w:rsidR="00563932" w:rsidRPr="004912AD" w:rsidRDefault="00563932" w:rsidP="000532C4">
      <w:pPr>
        <w:spacing w:line="360" w:lineRule="auto"/>
        <w:jc w:val="both"/>
        <w:rPr>
          <w:rFonts w:eastAsia="Calibri"/>
          <w:color w:val="000000"/>
        </w:rPr>
      </w:pPr>
    </w:p>
    <w:p w:rsidR="001B4847" w:rsidRPr="0005719F" w:rsidRDefault="001B4847" w:rsidP="000532C4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>Izvještaj o izvr</w:t>
      </w:r>
      <w:r w:rsidR="00563932">
        <w:rPr>
          <w:rFonts w:eastAsia="Calibri"/>
          <w:sz w:val="24"/>
          <w:szCs w:val="24"/>
        </w:rPr>
        <w:t>šenju financijskog plana za 2024</w:t>
      </w:r>
      <w:r w:rsidRPr="0005719F">
        <w:rPr>
          <w:rFonts w:eastAsia="Calibri"/>
          <w:sz w:val="24"/>
          <w:szCs w:val="24"/>
        </w:rPr>
        <w:t>. godinu VII. gimnazije pokazuje da su sredstva utrošena u skladu s podacima iskazanim u tekućem planu.</w:t>
      </w:r>
    </w:p>
    <w:p w:rsidR="00A241E5" w:rsidRDefault="00A241E5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B136AD" w:rsidRDefault="00B136AD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F419B6" w:rsidRDefault="00F419B6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05719F" w:rsidRPr="00097611" w:rsidRDefault="0005719F" w:rsidP="0005719F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7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POSEBNI DIO</w:t>
      </w:r>
    </w:p>
    <w:p w:rsidR="0005719F" w:rsidRDefault="0005719F" w:rsidP="0005719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5719F" w:rsidRDefault="0005719F" w:rsidP="00914F62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>Posebni dio polugodišnjeg i godišnjeg izvještaja o izvršenju financijskog plana proračunskog korisnika sadrži izvršenje rashoda i izdataka iskazanih po ekonomskoj klasifikaciji</w:t>
      </w:r>
      <w:r w:rsidR="00561BA4">
        <w:rPr>
          <w:rFonts w:eastAsia="Calibri"/>
          <w:sz w:val="24"/>
          <w:szCs w:val="24"/>
        </w:rPr>
        <w:t xml:space="preserve"> i </w:t>
      </w:r>
      <w:r w:rsidR="00561BA4" w:rsidRPr="0005719F">
        <w:rPr>
          <w:rFonts w:eastAsia="Calibri"/>
          <w:sz w:val="24"/>
          <w:szCs w:val="24"/>
        </w:rPr>
        <w:t>izvorima financiranja</w:t>
      </w:r>
      <w:r w:rsidRPr="0005719F">
        <w:rPr>
          <w:rFonts w:eastAsia="Calibri"/>
          <w:sz w:val="24"/>
          <w:szCs w:val="24"/>
        </w:rPr>
        <w:t>,</w:t>
      </w:r>
      <w:r w:rsidR="00561BA4">
        <w:rPr>
          <w:rFonts w:eastAsia="Calibri"/>
          <w:sz w:val="24"/>
          <w:szCs w:val="24"/>
        </w:rPr>
        <w:t xml:space="preserve"> rashode prema funkcijskoj klasifikaciji, račun financiranja te izvršenje prema programskoj klasifikaciji odnosno rashode i izdatke koji su </w:t>
      </w:r>
      <w:r w:rsidRPr="0005719F">
        <w:rPr>
          <w:rFonts w:eastAsia="Calibri"/>
          <w:sz w:val="24"/>
          <w:szCs w:val="24"/>
        </w:rPr>
        <w:t>raspoređenih u programe koji se sastoje od aktivnosti i projekata.</w:t>
      </w:r>
    </w:p>
    <w:p w:rsidR="00E7465F" w:rsidRDefault="00E7465F" w:rsidP="00E7465F">
      <w:pP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56A2EB" wp14:editId="4D2BB738">
            <wp:extent cx="5562600" cy="3943350"/>
            <wp:effectExtent l="0" t="0" r="19050" b="1905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4F62" w:rsidRDefault="00914F62" w:rsidP="00914F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914F62">
        <w:rPr>
          <w:rFonts w:eastAsia="Calibri"/>
          <w:color w:val="000000"/>
        </w:rPr>
        <w:t>Grafikon 2. Prihodi prema izvorima financiranja</w:t>
      </w:r>
    </w:p>
    <w:p w:rsidR="00914F62" w:rsidRPr="00AC0BF4" w:rsidRDefault="00914F62" w:rsidP="00914F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4"/>
          <w:szCs w:val="24"/>
        </w:rPr>
      </w:pPr>
    </w:p>
    <w:p w:rsidR="00A241E5" w:rsidRPr="00D03DB5" w:rsidRDefault="00B53A17" w:rsidP="00482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D03DB5">
        <w:rPr>
          <w:rFonts w:eastAsia="Calibri"/>
          <w:color w:val="000000"/>
          <w:sz w:val="24"/>
          <w:szCs w:val="24"/>
        </w:rPr>
        <w:t>Iz gore prikazanog grafikona možemo slikovito vidjeti os</w:t>
      </w:r>
      <w:r w:rsidR="00914F62">
        <w:rPr>
          <w:rFonts w:eastAsia="Calibri"/>
          <w:color w:val="000000"/>
          <w:sz w:val="24"/>
          <w:szCs w:val="24"/>
        </w:rPr>
        <w:t xml:space="preserve">tvarene prihode </w:t>
      </w:r>
      <w:r w:rsidR="00D03DB5" w:rsidRPr="00D03DB5">
        <w:rPr>
          <w:rFonts w:eastAsia="Calibri"/>
          <w:color w:val="000000"/>
          <w:sz w:val="24"/>
          <w:szCs w:val="24"/>
        </w:rPr>
        <w:t>u</w:t>
      </w:r>
      <w:r w:rsidR="00914F62">
        <w:rPr>
          <w:rFonts w:eastAsia="Calibri"/>
          <w:color w:val="000000"/>
          <w:sz w:val="24"/>
          <w:szCs w:val="24"/>
        </w:rPr>
        <w:t xml:space="preserve"> razdoblju od 01.01. do 30.06.</w:t>
      </w:r>
      <w:r w:rsidR="00E7465F">
        <w:rPr>
          <w:rFonts w:eastAsia="Calibri"/>
          <w:color w:val="000000"/>
          <w:sz w:val="24"/>
          <w:szCs w:val="24"/>
        </w:rPr>
        <w:t xml:space="preserve"> 2023</w:t>
      </w:r>
      <w:r w:rsidRPr="00D03DB5">
        <w:rPr>
          <w:rFonts w:eastAsia="Calibri"/>
          <w:color w:val="000000"/>
          <w:sz w:val="24"/>
          <w:szCs w:val="24"/>
        </w:rPr>
        <w:t>.</w:t>
      </w:r>
      <w:r w:rsidR="00393BF6">
        <w:rPr>
          <w:rFonts w:eastAsia="Calibri"/>
          <w:color w:val="000000"/>
          <w:sz w:val="24"/>
          <w:szCs w:val="24"/>
        </w:rPr>
        <w:t xml:space="preserve"> g</w:t>
      </w:r>
      <w:r w:rsidR="00E7465F">
        <w:rPr>
          <w:rFonts w:eastAsia="Calibri"/>
          <w:color w:val="000000"/>
          <w:sz w:val="24"/>
          <w:szCs w:val="24"/>
        </w:rPr>
        <w:t>odine,</w:t>
      </w:r>
      <w:r w:rsidR="00914F62">
        <w:rPr>
          <w:rFonts w:eastAsia="Calibri"/>
          <w:color w:val="000000"/>
          <w:sz w:val="24"/>
          <w:szCs w:val="24"/>
        </w:rPr>
        <w:t xml:space="preserve"> plan za </w:t>
      </w:r>
      <w:r w:rsidR="00E7465F">
        <w:rPr>
          <w:rFonts w:eastAsia="Calibri"/>
          <w:color w:val="000000"/>
          <w:sz w:val="24"/>
          <w:szCs w:val="24"/>
        </w:rPr>
        <w:t>2024</w:t>
      </w:r>
      <w:r w:rsidR="00914F62">
        <w:rPr>
          <w:rFonts w:eastAsia="Calibri"/>
          <w:color w:val="000000"/>
          <w:sz w:val="24"/>
          <w:szCs w:val="24"/>
        </w:rPr>
        <w:t>. godinu.</w:t>
      </w:r>
      <w:r w:rsidR="00E7465F">
        <w:rPr>
          <w:rFonts w:eastAsia="Calibri"/>
          <w:color w:val="000000"/>
          <w:sz w:val="24"/>
          <w:szCs w:val="24"/>
        </w:rPr>
        <w:t xml:space="preserve"> i izvršenje do 30.06.2024. godine.</w:t>
      </w:r>
      <w:r w:rsidR="00914F62">
        <w:rPr>
          <w:rFonts w:eastAsia="Calibri"/>
          <w:color w:val="000000"/>
          <w:sz w:val="24"/>
          <w:szCs w:val="24"/>
        </w:rPr>
        <w:t xml:space="preserve"> U Grafikonu 2. </w:t>
      </w:r>
      <w:r w:rsidR="00AC0BF4">
        <w:rPr>
          <w:rFonts w:eastAsia="Calibri"/>
          <w:color w:val="000000"/>
          <w:sz w:val="24"/>
          <w:szCs w:val="24"/>
        </w:rPr>
        <w:t>prikazani su prihodi po izvorima financiranja, iz kojih je vidljivo da je najviše sredstava zaprimljeno iz Izvora 5- Pomoći koje uključuju plaće Ministarstva znanosti i obrazovanja te materijalna prava za zaposlenike.</w:t>
      </w:r>
      <w:r w:rsidR="00914F62">
        <w:rPr>
          <w:rFonts w:eastAsia="Calibri"/>
          <w:color w:val="000000"/>
          <w:sz w:val="24"/>
          <w:szCs w:val="24"/>
        </w:rPr>
        <w:t xml:space="preserve"> </w:t>
      </w:r>
      <w:r w:rsidR="00AC0BF4">
        <w:rPr>
          <w:rFonts w:eastAsia="Calibri"/>
          <w:color w:val="000000"/>
          <w:sz w:val="24"/>
          <w:szCs w:val="24"/>
        </w:rPr>
        <w:t>I</w:t>
      </w:r>
      <w:r w:rsidR="00914F62">
        <w:rPr>
          <w:rFonts w:eastAsia="Calibri"/>
          <w:color w:val="000000"/>
          <w:sz w:val="24"/>
          <w:szCs w:val="24"/>
        </w:rPr>
        <w:t>zvršenje</w:t>
      </w:r>
      <w:r w:rsidR="00D03DB5" w:rsidRPr="00D03DB5">
        <w:rPr>
          <w:rFonts w:eastAsia="Calibri"/>
          <w:color w:val="000000"/>
          <w:sz w:val="24"/>
          <w:szCs w:val="24"/>
        </w:rPr>
        <w:t xml:space="preserve"> </w:t>
      </w:r>
      <w:r w:rsidR="00914F62">
        <w:rPr>
          <w:rFonts w:eastAsia="Calibri"/>
          <w:color w:val="000000"/>
          <w:sz w:val="24"/>
          <w:szCs w:val="24"/>
        </w:rPr>
        <w:t xml:space="preserve">financijskog </w:t>
      </w:r>
      <w:r w:rsidR="00D03DB5" w:rsidRPr="00D03DB5">
        <w:rPr>
          <w:rFonts w:eastAsia="Calibri"/>
          <w:color w:val="000000"/>
          <w:sz w:val="24"/>
          <w:szCs w:val="24"/>
        </w:rPr>
        <w:t xml:space="preserve">plan </w:t>
      </w:r>
      <w:r w:rsidR="00914F62">
        <w:rPr>
          <w:rFonts w:eastAsia="Calibri"/>
          <w:color w:val="000000"/>
          <w:sz w:val="24"/>
          <w:szCs w:val="24"/>
        </w:rPr>
        <w:t xml:space="preserve">za </w:t>
      </w:r>
      <w:r w:rsidR="00E7465F">
        <w:rPr>
          <w:rFonts w:eastAsia="Calibri"/>
          <w:color w:val="000000"/>
          <w:sz w:val="24"/>
          <w:szCs w:val="24"/>
        </w:rPr>
        <w:t>2024</w:t>
      </w:r>
      <w:r w:rsidRPr="00D03DB5">
        <w:rPr>
          <w:rFonts w:eastAsia="Calibri"/>
          <w:color w:val="000000"/>
          <w:sz w:val="24"/>
          <w:szCs w:val="24"/>
        </w:rPr>
        <w:t>.</w:t>
      </w:r>
      <w:r w:rsidR="00D03DB5" w:rsidRPr="00D03DB5">
        <w:rPr>
          <w:rFonts w:eastAsia="Calibri"/>
          <w:color w:val="000000"/>
          <w:sz w:val="24"/>
          <w:szCs w:val="24"/>
        </w:rPr>
        <w:t xml:space="preserve"> </w:t>
      </w:r>
      <w:r w:rsidR="00914F62">
        <w:rPr>
          <w:rFonts w:eastAsia="Calibri"/>
          <w:color w:val="000000"/>
          <w:sz w:val="24"/>
          <w:szCs w:val="24"/>
        </w:rPr>
        <w:t xml:space="preserve">godinu </w:t>
      </w:r>
      <w:r w:rsidR="00AC0BF4">
        <w:rPr>
          <w:rFonts w:eastAsia="Calibri"/>
          <w:color w:val="000000"/>
          <w:sz w:val="24"/>
          <w:szCs w:val="24"/>
        </w:rPr>
        <w:t>pokazuje</w:t>
      </w:r>
      <w:r w:rsidRPr="00D03DB5">
        <w:rPr>
          <w:rFonts w:eastAsia="Calibri"/>
          <w:color w:val="000000"/>
          <w:sz w:val="24"/>
          <w:szCs w:val="24"/>
        </w:rPr>
        <w:t xml:space="preserve"> pove</w:t>
      </w:r>
      <w:r w:rsidR="00914F62">
        <w:rPr>
          <w:rFonts w:eastAsia="Calibri"/>
          <w:color w:val="000000"/>
          <w:sz w:val="24"/>
          <w:szCs w:val="24"/>
        </w:rPr>
        <w:t xml:space="preserve">ćanje  prihoda </w:t>
      </w:r>
      <w:r w:rsidR="00D03DB5" w:rsidRPr="00D03DB5">
        <w:rPr>
          <w:rFonts w:eastAsia="Calibri"/>
          <w:color w:val="000000"/>
          <w:sz w:val="24"/>
          <w:szCs w:val="24"/>
        </w:rPr>
        <w:t xml:space="preserve">u </w:t>
      </w:r>
      <w:r w:rsidR="00914F62">
        <w:rPr>
          <w:rFonts w:eastAsia="Calibri"/>
          <w:color w:val="000000"/>
          <w:sz w:val="24"/>
          <w:szCs w:val="24"/>
        </w:rPr>
        <w:t xml:space="preserve">odnosu na isto izvještajno razdoblje prethodne godine. </w:t>
      </w:r>
    </w:p>
    <w:p w:rsidR="00A241E5" w:rsidRDefault="00A241E5" w:rsidP="00AC0B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C0BF4" w:rsidRDefault="00E7465F" w:rsidP="000557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ED12ADD" wp14:editId="5F5E0B7D">
            <wp:extent cx="5353050" cy="3486150"/>
            <wp:effectExtent l="0" t="0" r="19050" b="1905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1E5" w:rsidRPr="000557E6" w:rsidRDefault="00B53A17" w:rsidP="000557E6">
      <w:pPr>
        <w:jc w:val="center"/>
        <w:rPr>
          <w:rFonts w:ascii="Calibri" w:eastAsia="Calibri" w:hAnsi="Calibri" w:cs="Calibri"/>
        </w:rPr>
      </w:pPr>
      <w:r w:rsidRPr="000557E6">
        <w:rPr>
          <w:rFonts w:ascii="Calibri" w:eastAsia="Calibri" w:hAnsi="Calibri" w:cs="Calibri"/>
        </w:rPr>
        <w:t xml:space="preserve">Grafikon 3. </w:t>
      </w:r>
      <w:r w:rsidR="000557E6">
        <w:rPr>
          <w:rFonts w:eastAsia="Calibri"/>
          <w:color w:val="000000"/>
        </w:rPr>
        <w:t>Rashodi</w:t>
      </w:r>
      <w:r w:rsidR="000557E6" w:rsidRPr="00914F62">
        <w:rPr>
          <w:rFonts w:eastAsia="Calibri"/>
          <w:color w:val="000000"/>
        </w:rPr>
        <w:t xml:space="preserve"> prema izvorima financiranja</w:t>
      </w:r>
      <w:r w:rsidRPr="000557E6">
        <w:rPr>
          <w:rFonts w:ascii="Calibri" w:eastAsia="Calibri" w:hAnsi="Calibri" w:cs="Calibri"/>
        </w:rPr>
        <w:t>.</w:t>
      </w: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B53A17" w:rsidP="0048214D">
      <w:pPr>
        <w:spacing w:line="360" w:lineRule="auto"/>
        <w:jc w:val="both"/>
        <w:rPr>
          <w:rFonts w:eastAsia="Calibri"/>
          <w:sz w:val="24"/>
          <w:szCs w:val="24"/>
        </w:rPr>
      </w:pPr>
      <w:r w:rsidRPr="000557E6">
        <w:rPr>
          <w:rFonts w:eastAsia="Calibri"/>
          <w:sz w:val="24"/>
          <w:szCs w:val="24"/>
        </w:rPr>
        <w:t xml:space="preserve">U Grafikonu 3. su prikazani </w:t>
      </w:r>
      <w:r w:rsidR="000557E6">
        <w:rPr>
          <w:rFonts w:eastAsia="Calibri"/>
          <w:sz w:val="24"/>
          <w:szCs w:val="24"/>
        </w:rPr>
        <w:t>rashodi</w:t>
      </w:r>
      <w:r w:rsidRPr="000557E6">
        <w:rPr>
          <w:rFonts w:eastAsia="Calibri"/>
          <w:sz w:val="24"/>
          <w:szCs w:val="24"/>
        </w:rPr>
        <w:t xml:space="preserve"> ukupno po izvorima, iz kojih je vidljivo da je najviše </w:t>
      </w:r>
      <w:r w:rsidR="000557E6">
        <w:rPr>
          <w:rFonts w:eastAsia="Calibri"/>
          <w:sz w:val="24"/>
          <w:szCs w:val="24"/>
        </w:rPr>
        <w:t>rashoda</w:t>
      </w:r>
      <w:r w:rsidRPr="000557E6">
        <w:rPr>
          <w:rFonts w:eastAsia="Calibri"/>
          <w:sz w:val="24"/>
          <w:szCs w:val="24"/>
        </w:rPr>
        <w:t xml:space="preserve"> ostvareno iz </w:t>
      </w:r>
      <w:r w:rsidR="000532C4">
        <w:rPr>
          <w:rFonts w:eastAsia="Calibri"/>
          <w:sz w:val="24"/>
          <w:szCs w:val="24"/>
        </w:rPr>
        <w:t xml:space="preserve">izvora 5.- </w:t>
      </w:r>
      <w:r w:rsidR="000557E6">
        <w:rPr>
          <w:rFonts w:eastAsia="Calibri"/>
          <w:sz w:val="24"/>
          <w:szCs w:val="24"/>
        </w:rPr>
        <w:t>Pomoći</w:t>
      </w:r>
      <w:r w:rsidR="000532C4">
        <w:rPr>
          <w:rFonts w:eastAsia="Calibri"/>
          <w:sz w:val="24"/>
          <w:szCs w:val="24"/>
        </w:rPr>
        <w:t>-</w:t>
      </w:r>
      <w:r w:rsidR="000557E6">
        <w:rPr>
          <w:rFonts w:eastAsia="Calibri"/>
          <w:sz w:val="24"/>
          <w:szCs w:val="24"/>
        </w:rPr>
        <w:t xml:space="preserve"> koje uključuju plaće i materijalna prava zaposlenika te se financiraju iz sredstava</w:t>
      </w:r>
      <w:r w:rsidRPr="000557E6">
        <w:rPr>
          <w:rFonts w:eastAsia="Calibri"/>
          <w:sz w:val="24"/>
          <w:szCs w:val="24"/>
        </w:rPr>
        <w:t xml:space="preserve"> Ministarstva znanosti i obrazovanja.</w:t>
      </w:r>
    </w:p>
    <w:p w:rsidR="00E26F6D" w:rsidRDefault="00E26F6D" w:rsidP="0048214D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48214D" w:rsidRDefault="0048214D" w:rsidP="00513F81">
      <w:pPr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b/>
          <w:sz w:val="24"/>
          <w:szCs w:val="24"/>
        </w:rPr>
        <w:t>Program 4109</w:t>
      </w:r>
      <w:r w:rsidRPr="0048214D">
        <w:rPr>
          <w:rFonts w:eastAsia="Calibri"/>
          <w:sz w:val="24"/>
          <w:szCs w:val="24"/>
        </w:rPr>
        <w:t xml:space="preserve"> DJELATNOST USTANOVA SREDNJEG ŠKOLSTVA I UČENIČKIH DOMOVA</w:t>
      </w:r>
    </w:p>
    <w:p w:rsidR="00C113C2" w:rsidRDefault="00C113C2" w:rsidP="00513F81">
      <w:pPr>
        <w:jc w:val="both"/>
        <w:rPr>
          <w:rFonts w:eastAsia="Calibri"/>
          <w:sz w:val="24"/>
          <w:szCs w:val="24"/>
        </w:rPr>
      </w:pPr>
    </w:p>
    <w:p w:rsidR="00C113C2" w:rsidRPr="00513F81" w:rsidRDefault="00C113C2" w:rsidP="00513F81">
      <w:pPr>
        <w:jc w:val="both"/>
        <w:rPr>
          <w:rFonts w:eastAsia="Calibri"/>
          <w:b/>
          <w:sz w:val="24"/>
          <w:szCs w:val="24"/>
        </w:rPr>
      </w:pPr>
      <w:r w:rsidRPr="00513F81">
        <w:rPr>
          <w:rFonts w:eastAsia="Calibri"/>
          <w:b/>
          <w:sz w:val="24"/>
          <w:szCs w:val="24"/>
        </w:rPr>
        <w:t>Aktivnost A410901-REDOVNA DJELATNOST PRORAČUNSKIH KORISNIKA</w:t>
      </w:r>
    </w:p>
    <w:p w:rsidR="0048214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BE5684" w:rsidRPr="000532C4" w:rsidRDefault="00BE5684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</w:p>
    <w:p w:rsidR="0048214D" w:rsidRPr="0048214D" w:rsidRDefault="00E352AA" w:rsidP="00BE5684">
      <w:pPr>
        <w:spacing w:line="360" w:lineRule="auto"/>
        <w:jc w:val="both"/>
        <w:rPr>
          <w:rStyle w:val="Naglaeno"/>
          <w:b w:val="0"/>
          <w:sz w:val="24"/>
          <w:szCs w:val="24"/>
        </w:rPr>
      </w:pPr>
      <w:r>
        <w:rPr>
          <w:rStyle w:val="Naglaeno"/>
          <w:b w:val="0"/>
          <w:sz w:val="24"/>
          <w:szCs w:val="24"/>
        </w:rPr>
        <w:t xml:space="preserve">Nema značajnijih </w:t>
      </w:r>
      <w:r w:rsidR="00E7465F">
        <w:rPr>
          <w:rStyle w:val="Naglaeno"/>
          <w:b w:val="0"/>
          <w:sz w:val="24"/>
          <w:szCs w:val="24"/>
        </w:rPr>
        <w:t>odstupanja od plana za 2024</w:t>
      </w:r>
      <w:r w:rsidR="0048214D" w:rsidRPr="0048214D">
        <w:rPr>
          <w:rStyle w:val="Naglaeno"/>
          <w:b w:val="0"/>
          <w:sz w:val="24"/>
          <w:szCs w:val="24"/>
        </w:rPr>
        <w:t xml:space="preserve">. godinu </w:t>
      </w:r>
      <w:r>
        <w:rPr>
          <w:rStyle w:val="Naglaeno"/>
          <w:b w:val="0"/>
          <w:sz w:val="24"/>
          <w:szCs w:val="24"/>
        </w:rPr>
        <w:t>u odnosu na izvršenje do 30.06.2024.</w:t>
      </w:r>
    </w:p>
    <w:p w:rsidR="0048214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1.2.2.-DECENTRALIZIRANA SREDSTVA- SREDNJE ŠKOLSTVO</w:t>
      </w:r>
    </w:p>
    <w:p w:rsidR="00BE5684" w:rsidRPr="000532C4" w:rsidRDefault="00BE5684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</w:p>
    <w:p w:rsidR="00BE5684" w:rsidRPr="00F21D11" w:rsidRDefault="0048214D" w:rsidP="00BE5684">
      <w:pPr>
        <w:spacing w:line="360" w:lineRule="auto"/>
        <w:jc w:val="both"/>
        <w:rPr>
          <w:sz w:val="24"/>
          <w:szCs w:val="24"/>
        </w:rPr>
      </w:pPr>
      <w:r w:rsidRPr="0048214D">
        <w:rPr>
          <w:color w:val="141318"/>
          <w:spacing w:val="1"/>
          <w:sz w:val="24"/>
          <w:szCs w:val="24"/>
        </w:rPr>
        <w:t xml:space="preserve">Do </w:t>
      </w:r>
      <w:r w:rsidR="00553C04">
        <w:rPr>
          <w:color w:val="141318"/>
          <w:spacing w:val="1"/>
          <w:sz w:val="24"/>
          <w:szCs w:val="24"/>
        </w:rPr>
        <w:t>značajnijih odstupanja</w:t>
      </w:r>
      <w:r w:rsidRPr="0048214D">
        <w:rPr>
          <w:color w:val="141318"/>
          <w:spacing w:val="1"/>
          <w:sz w:val="24"/>
          <w:szCs w:val="24"/>
        </w:rPr>
        <w:t xml:space="preserve"> u odnosu na </w:t>
      </w:r>
      <w:r w:rsidR="00553C04">
        <w:rPr>
          <w:color w:val="141318"/>
          <w:spacing w:val="1"/>
          <w:sz w:val="24"/>
          <w:szCs w:val="24"/>
        </w:rPr>
        <w:t>prethodno izvještajno razdoblje</w:t>
      </w:r>
      <w:r w:rsidRPr="0048214D">
        <w:rPr>
          <w:color w:val="141318"/>
          <w:spacing w:val="1"/>
          <w:sz w:val="24"/>
          <w:szCs w:val="24"/>
        </w:rPr>
        <w:t xml:space="preserve"> dolazi zbog </w:t>
      </w:r>
      <w:r w:rsidR="00553C04">
        <w:rPr>
          <w:color w:val="141318"/>
          <w:spacing w:val="1"/>
          <w:sz w:val="24"/>
          <w:szCs w:val="24"/>
        </w:rPr>
        <w:t xml:space="preserve"> poskupljenja cijena uredskog materijala, nabavljanja zaštitne odjeće i obuće za tehničko osoblje, povećanja cijena </w:t>
      </w:r>
      <w:r w:rsidR="00BE6596">
        <w:rPr>
          <w:color w:val="141318"/>
          <w:spacing w:val="1"/>
          <w:sz w:val="24"/>
          <w:szCs w:val="24"/>
        </w:rPr>
        <w:t xml:space="preserve">komunalnih usluga, </w:t>
      </w:r>
      <w:r w:rsidR="00C96559" w:rsidRPr="0048214D">
        <w:rPr>
          <w:rStyle w:val="Naglaeno"/>
          <w:b w:val="0"/>
          <w:sz w:val="24"/>
          <w:szCs w:val="24"/>
        </w:rPr>
        <w:t xml:space="preserve">zbog </w:t>
      </w:r>
      <w:r w:rsidR="00C96559">
        <w:rPr>
          <w:rStyle w:val="Naglaeno"/>
          <w:b w:val="0"/>
          <w:sz w:val="24"/>
          <w:szCs w:val="24"/>
        </w:rPr>
        <w:t>povećanja cijena energenata</w:t>
      </w:r>
      <w:r w:rsidR="00C96559">
        <w:rPr>
          <w:color w:val="141318"/>
          <w:spacing w:val="1"/>
          <w:sz w:val="24"/>
          <w:szCs w:val="24"/>
        </w:rPr>
        <w:t xml:space="preserve">, </w:t>
      </w:r>
      <w:r w:rsidR="00553C04">
        <w:rPr>
          <w:color w:val="141318"/>
          <w:spacing w:val="1"/>
          <w:sz w:val="24"/>
          <w:szCs w:val="24"/>
        </w:rPr>
        <w:t>računalni</w:t>
      </w:r>
      <w:r w:rsidR="00BE5684">
        <w:rPr>
          <w:color w:val="141318"/>
          <w:spacing w:val="1"/>
          <w:sz w:val="24"/>
          <w:szCs w:val="24"/>
        </w:rPr>
        <w:t>h usluga,</w:t>
      </w:r>
      <w:r w:rsidR="00513F81">
        <w:rPr>
          <w:color w:val="141318"/>
          <w:spacing w:val="1"/>
          <w:sz w:val="24"/>
          <w:szCs w:val="24"/>
        </w:rPr>
        <w:t xml:space="preserve"> bankarskih usluga</w:t>
      </w:r>
      <w:r w:rsidR="00BE5684">
        <w:rPr>
          <w:color w:val="141318"/>
          <w:spacing w:val="1"/>
          <w:sz w:val="24"/>
          <w:szCs w:val="24"/>
        </w:rPr>
        <w:t xml:space="preserve"> i ostalih usluga temeljem nabavljanja dara za uspješne učenike</w:t>
      </w:r>
      <w:r w:rsidR="00513F81">
        <w:rPr>
          <w:color w:val="141318"/>
          <w:spacing w:val="1"/>
          <w:sz w:val="24"/>
          <w:szCs w:val="24"/>
        </w:rPr>
        <w:t xml:space="preserve">. </w:t>
      </w:r>
      <w:r w:rsidR="00BE5684">
        <w:rPr>
          <w:color w:val="141318"/>
          <w:spacing w:val="1"/>
          <w:sz w:val="24"/>
          <w:szCs w:val="24"/>
        </w:rPr>
        <w:t xml:space="preserve">Do znatnog odstupanja u odnosu na prethodno izvještajno razdoblje glede stručnog usavršavanja  dolazi zbog </w:t>
      </w:r>
      <w:r w:rsidR="00BE5684">
        <w:rPr>
          <w:sz w:val="24"/>
          <w:szCs w:val="24"/>
        </w:rPr>
        <w:t xml:space="preserve">veći broj edukacija </w:t>
      </w:r>
      <w:r w:rsidR="00BE5684" w:rsidRPr="00F21D11">
        <w:rPr>
          <w:sz w:val="24"/>
          <w:szCs w:val="24"/>
        </w:rPr>
        <w:t xml:space="preserve">temeljem realiziranog putovanja u </w:t>
      </w:r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>Strasbourg.</w:t>
      </w:r>
      <w:r w:rsidR="00BE5684">
        <w:rPr>
          <w:sz w:val="24"/>
          <w:szCs w:val="24"/>
        </w:rPr>
        <w:t xml:space="preserve"> </w:t>
      </w:r>
      <w:r w:rsidR="00BE5684" w:rsidRPr="00F21D11">
        <w:rPr>
          <w:sz w:val="24"/>
          <w:szCs w:val="24"/>
        </w:rPr>
        <w:t xml:space="preserve">VII. gimnazija </w:t>
      </w:r>
      <w:r w:rsidR="00BE5684" w:rsidRPr="00F21D11">
        <w:rPr>
          <w:sz w:val="24"/>
          <w:szCs w:val="24"/>
        </w:rPr>
        <w:lastRenderedPageBreak/>
        <w:t xml:space="preserve">je zaprimila </w:t>
      </w:r>
      <w:r w:rsidR="00BE5684">
        <w:rPr>
          <w:sz w:val="24"/>
          <w:szCs w:val="24"/>
        </w:rPr>
        <w:t xml:space="preserve">iznos od 7.596,16 € </w:t>
      </w:r>
      <w:r w:rsidR="00BE5684" w:rsidRPr="00F21D11">
        <w:rPr>
          <w:sz w:val="24"/>
          <w:szCs w:val="24"/>
        </w:rPr>
        <w:t xml:space="preserve"> tijekom prve polovice 2024. godine od Europskog parlamenta </w:t>
      </w:r>
      <w:r w:rsidR="00BE5684" w:rsidRPr="00F21D11">
        <w:rPr>
          <w:color w:val="000000" w:themeColor="text1"/>
          <w:sz w:val="24"/>
          <w:szCs w:val="24"/>
        </w:rPr>
        <w:t xml:space="preserve">za </w:t>
      </w:r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>sudjelovanje u programu Euroscola.</w:t>
      </w:r>
      <w:r w:rsidR="00BE5684">
        <w:rPr>
          <w:color w:val="000000" w:themeColor="text1"/>
          <w:sz w:val="24"/>
          <w:szCs w:val="24"/>
          <w:shd w:val="clear" w:color="auto" w:fill="FFFFFF"/>
        </w:rPr>
        <w:t xml:space="preserve"> Iznos je u cijelosti namjenski utrošen.</w:t>
      </w:r>
    </w:p>
    <w:p w:rsidR="0048214D" w:rsidRPr="000532C4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3.1.1.-VLASTITI PRIHODI- PRORAČUNSKI KORISNICI</w:t>
      </w:r>
    </w:p>
    <w:p w:rsidR="0048214D" w:rsidRDefault="0048214D" w:rsidP="00513F81">
      <w:pPr>
        <w:spacing w:before="252"/>
        <w:ind w:right="72"/>
        <w:jc w:val="both"/>
        <w:rPr>
          <w:color w:val="141318"/>
          <w:spacing w:val="1"/>
          <w:sz w:val="24"/>
          <w:szCs w:val="24"/>
        </w:rPr>
      </w:pPr>
      <w:r w:rsidRPr="0048214D">
        <w:rPr>
          <w:color w:val="141318"/>
          <w:spacing w:val="1"/>
          <w:sz w:val="24"/>
          <w:szCs w:val="24"/>
        </w:rPr>
        <w:t xml:space="preserve">Na ovoj </w:t>
      </w:r>
      <w:r w:rsidR="00BE6596">
        <w:rPr>
          <w:color w:val="141318"/>
          <w:spacing w:val="1"/>
          <w:sz w:val="24"/>
          <w:szCs w:val="24"/>
        </w:rPr>
        <w:t xml:space="preserve">poziciji u financijskom planu </w:t>
      </w:r>
      <w:r w:rsidRPr="0048214D">
        <w:rPr>
          <w:color w:val="141318"/>
          <w:spacing w:val="1"/>
          <w:sz w:val="24"/>
          <w:szCs w:val="24"/>
        </w:rPr>
        <w:t xml:space="preserve">su planirana sredstva </w:t>
      </w:r>
      <w:r w:rsidR="00C96559">
        <w:rPr>
          <w:color w:val="141318"/>
          <w:spacing w:val="1"/>
          <w:sz w:val="24"/>
          <w:szCs w:val="24"/>
        </w:rPr>
        <w:t>temeljem najma školskog prostora.</w:t>
      </w:r>
    </w:p>
    <w:p w:rsidR="0048214D" w:rsidRPr="000532C4" w:rsidRDefault="0048214D" w:rsidP="00860173">
      <w:pPr>
        <w:spacing w:before="252"/>
        <w:ind w:right="72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4.3</w:t>
      </w:r>
      <w:r w:rsidR="00860173">
        <w:rPr>
          <w:i/>
          <w:color w:val="141318"/>
          <w:spacing w:val="1"/>
          <w:sz w:val="24"/>
          <w:szCs w:val="24"/>
        </w:rPr>
        <w:t xml:space="preserve">.1.-PRIHODI ZA POSEBNE NAMJENE- </w:t>
      </w:r>
      <w:r w:rsidRPr="000532C4">
        <w:rPr>
          <w:i/>
          <w:color w:val="141318"/>
          <w:spacing w:val="1"/>
          <w:sz w:val="24"/>
          <w:szCs w:val="24"/>
        </w:rPr>
        <w:t>PRORAČUNSKI KORISNICI</w:t>
      </w:r>
    </w:p>
    <w:p w:rsidR="002E2BC3" w:rsidRPr="0048214D" w:rsidRDefault="0048214D" w:rsidP="00101D12">
      <w:pPr>
        <w:spacing w:before="252" w:line="360" w:lineRule="auto"/>
        <w:ind w:right="72"/>
        <w:jc w:val="both"/>
        <w:rPr>
          <w:color w:val="141318"/>
          <w:spacing w:val="1"/>
          <w:sz w:val="24"/>
          <w:szCs w:val="24"/>
        </w:rPr>
      </w:pPr>
      <w:r w:rsidRPr="0048214D">
        <w:rPr>
          <w:color w:val="141318"/>
          <w:spacing w:val="1"/>
          <w:sz w:val="24"/>
          <w:szCs w:val="24"/>
        </w:rPr>
        <w:t xml:space="preserve">Do </w:t>
      </w:r>
      <w:r w:rsidR="002E2BC3">
        <w:rPr>
          <w:color w:val="141318"/>
          <w:spacing w:val="1"/>
          <w:sz w:val="24"/>
          <w:szCs w:val="24"/>
        </w:rPr>
        <w:t>odstupanja</w:t>
      </w:r>
      <w:r w:rsidRPr="0048214D">
        <w:rPr>
          <w:color w:val="141318"/>
          <w:spacing w:val="1"/>
          <w:sz w:val="24"/>
          <w:szCs w:val="24"/>
        </w:rPr>
        <w:t xml:space="preserve"> u od</w:t>
      </w:r>
      <w:r w:rsidR="00553C04">
        <w:rPr>
          <w:color w:val="141318"/>
          <w:spacing w:val="1"/>
          <w:sz w:val="24"/>
          <w:szCs w:val="24"/>
        </w:rPr>
        <w:t xml:space="preserve">nosu na </w:t>
      </w:r>
      <w:r w:rsidR="002E2BC3">
        <w:rPr>
          <w:color w:val="141318"/>
          <w:spacing w:val="1"/>
          <w:sz w:val="24"/>
          <w:szCs w:val="24"/>
        </w:rPr>
        <w:t>financijski plan za 2024</w:t>
      </w:r>
      <w:r w:rsidRPr="0048214D">
        <w:rPr>
          <w:color w:val="141318"/>
          <w:spacing w:val="1"/>
          <w:sz w:val="24"/>
          <w:szCs w:val="24"/>
        </w:rPr>
        <w:t xml:space="preserve">. godinu dolazi </w:t>
      </w:r>
      <w:r w:rsidR="00C96559">
        <w:rPr>
          <w:color w:val="141318"/>
          <w:spacing w:val="1"/>
          <w:sz w:val="24"/>
          <w:szCs w:val="24"/>
        </w:rPr>
        <w:t xml:space="preserve">provođenjem aktivnosti </w:t>
      </w:r>
      <w:r w:rsidR="00101D12">
        <w:rPr>
          <w:color w:val="141318"/>
          <w:spacing w:val="1"/>
          <w:sz w:val="24"/>
          <w:szCs w:val="24"/>
        </w:rPr>
        <w:t>u drugom izvještajnom razdoblju (osiguranje učenika).</w:t>
      </w:r>
    </w:p>
    <w:p w:rsidR="0048214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5.2.1.-POMOĆI IZ DRUGI</w:t>
      </w:r>
      <w:r w:rsidR="00C113C2" w:rsidRPr="000532C4">
        <w:rPr>
          <w:i/>
          <w:color w:val="141318"/>
          <w:spacing w:val="1"/>
          <w:sz w:val="24"/>
          <w:szCs w:val="24"/>
        </w:rPr>
        <w:t>H PRORAČUNSKIH KORISNIKA</w:t>
      </w:r>
    </w:p>
    <w:p w:rsidR="000C3138" w:rsidRDefault="000C3138" w:rsidP="00BE5684">
      <w:pPr>
        <w:spacing w:line="360" w:lineRule="auto"/>
        <w:jc w:val="both"/>
        <w:rPr>
          <w:color w:val="141318"/>
          <w:spacing w:val="1"/>
          <w:sz w:val="24"/>
          <w:szCs w:val="24"/>
        </w:rPr>
      </w:pPr>
    </w:p>
    <w:p w:rsidR="00821BF2" w:rsidRDefault="0048214D" w:rsidP="00BE5684">
      <w:pPr>
        <w:spacing w:line="360" w:lineRule="auto"/>
        <w:jc w:val="both"/>
        <w:rPr>
          <w:sz w:val="24"/>
          <w:szCs w:val="24"/>
        </w:rPr>
      </w:pPr>
      <w:r w:rsidRPr="002E2BC3">
        <w:rPr>
          <w:color w:val="141318"/>
          <w:spacing w:val="1"/>
          <w:sz w:val="24"/>
          <w:szCs w:val="24"/>
        </w:rPr>
        <w:t xml:space="preserve">Rashodi su uvećani u odnosu na planirano temeljem </w:t>
      </w:r>
      <w:r w:rsidR="002E2BC3">
        <w:rPr>
          <w:color w:val="000000"/>
          <w:sz w:val="24"/>
          <w:szCs w:val="24"/>
        </w:rPr>
        <w:t>Uredbe</w:t>
      </w:r>
      <w:r w:rsidR="002E2BC3" w:rsidRPr="002E2BC3">
        <w:rPr>
          <w:color w:val="000000"/>
          <w:sz w:val="24"/>
          <w:szCs w:val="24"/>
        </w:rPr>
        <w:t xml:space="preserve"> o nazivima radnih mjesta, uvjetima za raspored i koeficijentima za obračun plaće u javnim službama</w:t>
      </w:r>
      <w:r w:rsidR="002E2BC3">
        <w:rPr>
          <w:color w:val="000000"/>
          <w:sz w:val="24"/>
          <w:szCs w:val="24"/>
        </w:rPr>
        <w:t xml:space="preserve"> </w:t>
      </w:r>
      <w:r w:rsidR="00821BF2">
        <w:rPr>
          <w:b/>
          <w:color w:val="141318"/>
          <w:spacing w:val="-3"/>
          <w:sz w:val="24"/>
          <w:szCs w:val="24"/>
        </w:rPr>
        <w:t>(</w:t>
      </w:r>
      <w:r w:rsidR="00821BF2" w:rsidRPr="00B37A9F">
        <w:rPr>
          <w:color w:val="141318"/>
          <w:spacing w:val="-3"/>
          <w:sz w:val="24"/>
          <w:szCs w:val="24"/>
        </w:rPr>
        <w:t>NN 22/24) od 01.03.2024.</w:t>
      </w:r>
      <w:r w:rsidR="004A267A">
        <w:rPr>
          <w:color w:val="141318"/>
          <w:spacing w:val="-3"/>
          <w:sz w:val="24"/>
          <w:szCs w:val="24"/>
        </w:rPr>
        <w:t xml:space="preserve"> </w:t>
      </w:r>
      <w:r w:rsidR="00821BF2" w:rsidRPr="00B37A9F">
        <w:rPr>
          <w:color w:val="141318"/>
          <w:spacing w:val="-3"/>
          <w:sz w:val="24"/>
          <w:szCs w:val="24"/>
        </w:rPr>
        <w:t xml:space="preserve">te preostalom isplatom plaće po sudskoj presudi </w:t>
      </w:r>
      <w:r w:rsidR="00821BF2">
        <w:rPr>
          <w:sz w:val="24"/>
          <w:szCs w:val="24"/>
        </w:rPr>
        <w:t>zbog neuvećanja osnovice od 6% za 2016. godinu.</w:t>
      </w:r>
    </w:p>
    <w:p w:rsidR="00C113C2" w:rsidRPr="00C113C2" w:rsidRDefault="00C113C2" w:rsidP="00821BF2">
      <w:pPr>
        <w:pStyle w:val="Naslov3"/>
        <w:spacing w:before="0" w:after="0" w:line="360" w:lineRule="atLeast"/>
        <w:textAlignment w:val="baseline"/>
        <w:rPr>
          <w:rFonts w:ascii="Arial" w:hAnsi="Arial" w:cs="Arial"/>
        </w:rPr>
      </w:pPr>
    </w:p>
    <w:p w:rsidR="00241B6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6.1.1.-DONACIJE</w:t>
      </w:r>
    </w:p>
    <w:p w:rsidR="0048214D" w:rsidRPr="00BE5684" w:rsidRDefault="002E2BC3" w:rsidP="00BE5684">
      <w:pPr>
        <w:spacing w:before="252" w:line="360" w:lineRule="auto"/>
        <w:ind w:right="72"/>
        <w:jc w:val="both"/>
        <w:rPr>
          <w:sz w:val="24"/>
          <w:szCs w:val="24"/>
        </w:rPr>
      </w:pPr>
      <w:r w:rsidRPr="00BE5684">
        <w:rPr>
          <w:sz w:val="24"/>
          <w:szCs w:val="24"/>
        </w:rPr>
        <w:t xml:space="preserve">Do povećanja </w:t>
      </w:r>
      <w:r w:rsidR="00C113C2" w:rsidRPr="00BE5684">
        <w:rPr>
          <w:sz w:val="24"/>
          <w:szCs w:val="24"/>
        </w:rPr>
        <w:t>odstupanja u odnosu na prethodno izvještajno razdoblje</w:t>
      </w:r>
      <w:r w:rsidR="0048214D" w:rsidRPr="00BE5684">
        <w:rPr>
          <w:sz w:val="24"/>
          <w:szCs w:val="24"/>
        </w:rPr>
        <w:t xml:space="preserve"> </w:t>
      </w:r>
      <w:r w:rsidR="00C113C2" w:rsidRPr="00BE5684">
        <w:rPr>
          <w:sz w:val="24"/>
          <w:szCs w:val="24"/>
        </w:rPr>
        <w:t xml:space="preserve">nastalo je </w:t>
      </w:r>
      <w:r w:rsidR="0048214D" w:rsidRPr="00BE5684">
        <w:rPr>
          <w:sz w:val="24"/>
          <w:szCs w:val="24"/>
        </w:rPr>
        <w:t xml:space="preserve">temeljem </w:t>
      </w:r>
      <w:r w:rsidRPr="00BE5684">
        <w:rPr>
          <w:sz w:val="24"/>
          <w:szCs w:val="24"/>
        </w:rPr>
        <w:t>povećanja neoporezivog iznosa inozemnih dnevnica (NN16/24)</w:t>
      </w:r>
      <w:r w:rsidR="00C113C2" w:rsidRPr="00BE5684">
        <w:rPr>
          <w:sz w:val="24"/>
          <w:szCs w:val="24"/>
        </w:rPr>
        <w:t>.</w:t>
      </w:r>
      <w:r w:rsidR="00BE6596" w:rsidRPr="00BE5684">
        <w:rPr>
          <w:sz w:val="24"/>
          <w:szCs w:val="24"/>
        </w:rPr>
        <w:t xml:space="preserve"> </w:t>
      </w:r>
      <w:r w:rsidRPr="00BE5684">
        <w:rPr>
          <w:sz w:val="24"/>
          <w:szCs w:val="24"/>
          <w:shd w:val="clear" w:color="auto" w:fill="FFFFFF"/>
        </w:rPr>
        <w:t xml:space="preserve">Početkom 2024. i Hrvatska je </w:t>
      </w:r>
      <w:r w:rsidRPr="00BE5684">
        <w:rPr>
          <w:sz w:val="24"/>
          <w:szCs w:val="24"/>
        </w:rPr>
        <w:t>dnevnica</w:t>
      </w:r>
      <w:r w:rsidRPr="00BE5684">
        <w:rPr>
          <w:sz w:val="24"/>
          <w:szCs w:val="24"/>
          <w:shd w:val="clear" w:color="auto" w:fill="FFFFFF"/>
        </w:rPr>
        <w:t xml:space="preserve"> povećana na iznos od 30 EUR kako bismo uhvatili korak s povećanim troškovima.</w:t>
      </w:r>
    </w:p>
    <w:p w:rsidR="00241B6D" w:rsidRPr="00241B6D" w:rsidRDefault="00241B6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</w:p>
    <w:p w:rsidR="00C113C2" w:rsidRPr="00513F81" w:rsidRDefault="00C113C2" w:rsidP="00513F81">
      <w:pPr>
        <w:jc w:val="both"/>
        <w:rPr>
          <w:b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A410907</w:t>
      </w:r>
      <w:r w:rsidR="0048214D" w:rsidRPr="00513F81">
        <w:rPr>
          <w:b/>
          <w:color w:val="141318"/>
          <w:spacing w:val="1"/>
          <w:sz w:val="24"/>
          <w:szCs w:val="24"/>
        </w:rPr>
        <w:t>-</w:t>
      </w:r>
      <w:r w:rsidRPr="00513F81">
        <w:rPr>
          <w:sz w:val="24"/>
          <w:szCs w:val="24"/>
        </w:rPr>
        <w:t xml:space="preserve"> </w:t>
      </w:r>
      <w:r w:rsidRPr="00513F81">
        <w:rPr>
          <w:b/>
          <w:sz w:val="24"/>
          <w:szCs w:val="24"/>
        </w:rPr>
        <w:t>GRAĐANSKI ODGOJ I ŠKOLA I ZAJEDNICA</w:t>
      </w:r>
    </w:p>
    <w:p w:rsidR="0048214D" w:rsidRPr="000532C4" w:rsidRDefault="0048214D" w:rsidP="00513F81">
      <w:pPr>
        <w:spacing w:before="252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48214D" w:rsidRDefault="00C113C2" w:rsidP="00BE5684">
      <w:pPr>
        <w:spacing w:before="252" w:line="360" w:lineRule="auto"/>
        <w:ind w:left="72" w:right="72"/>
        <w:jc w:val="both"/>
        <w:rPr>
          <w:sz w:val="24"/>
          <w:szCs w:val="24"/>
          <w:shd w:val="clear" w:color="auto" w:fill="FFFFFF"/>
        </w:rPr>
      </w:pPr>
      <w:r w:rsidRPr="00513F81">
        <w:rPr>
          <w:color w:val="141318"/>
          <w:spacing w:val="1"/>
          <w:sz w:val="24"/>
          <w:szCs w:val="24"/>
        </w:rPr>
        <w:t xml:space="preserve">Prema </w:t>
      </w:r>
      <w:r w:rsidR="0048214D" w:rsidRPr="00513F81">
        <w:rPr>
          <w:color w:val="141318"/>
          <w:spacing w:val="1"/>
          <w:sz w:val="24"/>
          <w:szCs w:val="24"/>
        </w:rPr>
        <w:t>ovoj aktivnosti</w:t>
      </w:r>
      <w:r w:rsidRPr="00513F81">
        <w:rPr>
          <w:color w:val="141318"/>
          <w:spacing w:val="1"/>
          <w:sz w:val="24"/>
          <w:szCs w:val="24"/>
        </w:rPr>
        <w:t xml:space="preserve"> značajno je odstupanje u odnosu na prethodno izvještajno razdoblje jer se ova pozicija</w:t>
      </w:r>
      <w:r w:rsidR="00BE6596">
        <w:rPr>
          <w:color w:val="141318"/>
          <w:spacing w:val="1"/>
          <w:sz w:val="24"/>
          <w:szCs w:val="24"/>
        </w:rPr>
        <w:t xml:space="preserve"> odnosi  na projekt </w:t>
      </w:r>
      <w:r w:rsidR="00BE6596" w:rsidRPr="00513F81">
        <w:rPr>
          <w:sz w:val="24"/>
          <w:szCs w:val="24"/>
          <w:shd w:val="clear" w:color="auto" w:fill="FFFFFF"/>
        </w:rPr>
        <w:t>Škola i zajednica</w:t>
      </w:r>
      <w:r w:rsidR="0048214D" w:rsidRPr="00513F81">
        <w:rPr>
          <w:color w:val="141318"/>
          <w:spacing w:val="1"/>
          <w:sz w:val="24"/>
          <w:szCs w:val="24"/>
        </w:rPr>
        <w:t xml:space="preserve">. </w:t>
      </w:r>
      <w:r w:rsidR="0048214D" w:rsidRPr="00513F81">
        <w:rPr>
          <w:sz w:val="24"/>
          <w:szCs w:val="24"/>
          <w:shd w:val="clear" w:color="auto" w:fill="FFFFFF"/>
        </w:rPr>
        <w:t>Nastavni predmet Škola i zajednica (ŠiZ) pruža učenicima jedinstveno, inovativno i sadržajno odgojno-obrazovno iskustvo. Intenzivnom međusobnom suradnjom, uz moderaciju nastavnika i sudjelovanje predstavnika različitih organizacija, institucija i ustanova iz zajednice, učenici tijekom školske godine aktivno sudjeluju u strukturiranim aktivnostima poučavanja i učenja usmjerenih prepoznavanju, analiziranju i kritičkom promišljanju složenih uzroka i posljedica pojava i problema u svojoj lokalnoj zajednici.</w:t>
      </w:r>
      <w:r w:rsidR="00BE6596">
        <w:rPr>
          <w:sz w:val="24"/>
          <w:szCs w:val="24"/>
          <w:shd w:val="clear" w:color="auto" w:fill="FFFFFF"/>
        </w:rPr>
        <w:t xml:space="preserve"> </w:t>
      </w:r>
    </w:p>
    <w:p w:rsidR="00BE5684" w:rsidRDefault="00BE5684" w:rsidP="00513F81">
      <w:pPr>
        <w:spacing w:before="252"/>
        <w:ind w:left="72" w:right="72"/>
        <w:jc w:val="both"/>
        <w:rPr>
          <w:sz w:val="24"/>
          <w:szCs w:val="24"/>
          <w:shd w:val="clear" w:color="auto" w:fill="FFFFFF"/>
        </w:rPr>
      </w:pPr>
    </w:p>
    <w:p w:rsidR="00BE5684" w:rsidRPr="00513F81" w:rsidRDefault="00BE5684" w:rsidP="00BE5684">
      <w:pPr>
        <w:jc w:val="both"/>
        <w:rPr>
          <w:b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A4</w:t>
      </w:r>
      <w:r>
        <w:rPr>
          <w:b/>
          <w:color w:val="141318"/>
          <w:spacing w:val="1"/>
          <w:sz w:val="24"/>
          <w:szCs w:val="24"/>
        </w:rPr>
        <w:t>10902</w:t>
      </w:r>
      <w:r w:rsidRPr="00513F81">
        <w:rPr>
          <w:b/>
          <w:color w:val="141318"/>
          <w:spacing w:val="1"/>
          <w:sz w:val="24"/>
          <w:szCs w:val="24"/>
        </w:rPr>
        <w:t>-</w:t>
      </w:r>
      <w:r w:rsidRPr="00513F8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IZVANNASTAVNE I OSTALE AKTIVNOSTI</w:t>
      </w:r>
    </w:p>
    <w:p w:rsidR="00BE5684" w:rsidRDefault="00BE5684" w:rsidP="00BE5684">
      <w:pPr>
        <w:spacing w:before="252" w:line="360" w:lineRule="auto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4A267A" w:rsidRDefault="00BE5684" w:rsidP="004A26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1012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značajnog </w:t>
      </w:r>
      <w:r w:rsidRPr="00D10128">
        <w:rPr>
          <w:sz w:val="24"/>
          <w:szCs w:val="24"/>
        </w:rPr>
        <w:t>porasta odstupanja u odnosu na prethodno izvještajno razdoblje došlo je temelje</w:t>
      </w:r>
      <w:r>
        <w:rPr>
          <w:sz w:val="24"/>
          <w:szCs w:val="24"/>
        </w:rPr>
        <w:t>m</w:t>
      </w:r>
      <w:r w:rsidRPr="00D10128">
        <w:rPr>
          <w:sz w:val="24"/>
          <w:szCs w:val="24"/>
        </w:rPr>
        <w:t xml:space="preserve"> prove</w:t>
      </w:r>
      <w:r>
        <w:rPr>
          <w:sz w:val="24"/>
          <w:szCs w:val="24"/>
        </w:rPr>
        <w:t xml:space="preserve">dbe školskog natjecanja. </w:t>
      </w:r>
      <w:r w:rsidR="004A267A">
        <w:rPr>
          <w:sz w:val="24"/>
          <w:szCs w:val="24"/>
        </w:rPr>
        <w:t xml:space="preserve">VII. gimnazija bila je domaćin Smotre </w:t>
      </w:r>
      <w:r w:rsidR="004A267A" w:rsidRPr="00E51D74">
        <w:rPr>
          <w:b/>
          <w:sz w:val="24"/>
          <w:szCs w:val="24"/>
        </w:rPr>
        <w:t>biosigurnosti i biozaštite</w:t>
      </w:r>
      <w:r w:rsidR="004A267A">
        <w:rPr>
          <w:sz w:val="24"/>
          <w:szCs w:val="24"/>
        </w:rPr>
        <w:t xml:space="preserve"> za regiju Središnja Hrvatska koja se održala dana 28. veljače 2024. godine. Iznos od 1.120,04 smo zaprimili od Grada Zagreba dana 05. travanja 2024. i namjenski utrošili.</w:t>
      </w:r>
    </w:p>
    <w:p w:rsidR="00BE5684" w:rsidRDefault="00BE5684" w:rsidP="00BE5684">
      <w:pPr>
        <w:spacing w:line="360" w:lineRule="auto"/>
        <w:jc w:val="both"/>
        <w:rPr>
          <w:sz w:val="24"/>
          <w:szCs w:val="24"/>
        </w:rPr>
      </w:pPr>
    </w:p>
    <w:p w:rsidR="0048214D" w:rsidRPr="00513F81" w:rsidRDefault="0048214D" w:rsidP="00513F81">
      <w:pPr>
        <w:spacing w:before="252"/>
        <w:ind w:left="72" w:right="72"/>
        <w:jc w:val="both"/>
        <w:rPr>
          <w:b/>
          <w:color w:val="141318"/>
          <w:spacing w:val="1"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A410905-NABAVA UDŽBENIKA</w:t>
      </w:r>
    </w:p>
    <w:p w:rsidR="0048214D" w:rsidRPr="000532C4" w:rsidRDefault="0048214D" w:rsidP="00513F81">
      <w:pPr>
        <w:spacing w:before="252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5.2.1.-POMOĆI IZ PRORAČUNSKIH KORISNIKA-PK</w:t>
      </w:r>
    </w:p>
    <w:p w:rsidR="0048214D" w:rsidRDefault="00AE0891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  <w:r w:rsidRPr="00513F81">
        <w:rPr>
          <w:color w:val="141318"/>
          <w:spacing w:val="1"/>
          <w:sz w:val="24"/>
          <w:szCs w:val="24"/>
        </w:rPr>
        <w:t>Na ovoj poziciji planirana je nabava udžbenik</w:t>
      </w:r>
      <w:r w:rsidR="00513F81">
        <w:rPr>
          <w:color w:val="141318"/>
          <w:spacing w:val="1"/>
          <w:sz w:val="24"/>
          <w:szCs w:val="24"/>
        </w:rPr>
        <w:t>a</w:t>
      </w:r>
      <w:r w:rsidR="002E2BC3">
        <w:rPr>
          <w:color w:val="141318"/>
          <w:spacing w:val="1"/>
          <w:sz w:val="24"/>
          <w:szCs w:val="24"/>
        </w:rPr>
        <w:t xml:space="preserve"> koja će biti realizirana u drugom izvještajnom razdoblju.</w:t>
      </w:r>
      <w:r w:rsidRPr="00513F81">
        <w:rPr>
          <w:color w:val="141318"/>
          <w:spacing w:val="1"/>
          <w:sz w:val="24"/>
          <w:szCs w:val="24"/>
        </w:rPr>
        <w:t xml:space="preserve"> </w:t>
      </w:r>
    </w:p>
    <w:p w:rsidR="00E352AA" w:rsidRDefault="00E352AA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8214D" w:rsidRPr="00513F81" w:rsidRDefault="0048214D" w:rsidP="00513F81">
      <w:pPr>
        <w:spacing w:before="252"/>
        <w:ind w:left="72" w:right="72"/>
        <w:jc w:val="both"/>
        <w:rPr>
          <w:b/>
          <w:color w:val="141318"/>
          <w:spacing w:val="1"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K410901-ODRŽAVANJE I OPREMANJE USTANOVA SREDNJEG ŠKOLSTVA I UČENIČKIH DOMOVA</w:t>
      </w:r>
    </w:p>
    <w:p w:rsidR="00E352AA" w:rsidRPr="000532C4" w:rsidRDefault="0048214D" w:rsidP="00E352AA">
      <w:pPr>
        <w:spacing w:before="252" w:line="360" w:lineRule="auto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E352AA" w:rsidRDefault="00AE0891" w:rsidP="00E352AA">
      <w:pPr>
        <w:spacing w:line="360" w:lineRule="auto"/>
        <w:jc w:val="both"/>
        <w:rPr>
          <w:sz w:val="24"/>
          <w:szCs w:val="24"/>
        </w:rPr>
      </w:pPr>
      <w:r w:rsidRPr="00513F81">
        <w:rPr>
          <w:color w:val="141318"/>
          <w:spacing w:val="1"/>
          <w:sz w:val="24"/>
          <w:szCs w:val="24"/>
        </w:rPr>
        <w:t>Do odstupanja u do</w:t>
      </w:r>
      <w:r w:rsidR="00F1657C">
        <w:rPr>
          <w:color w:val="141318"/>
          <w:spacing w:val="1"/>
          <w:sz w:val="24"/>
          <w:szCs w:val="24"/>
        </w:rPr>
        <w:t>nosu na financijski plan za 2024</w:t>
      </w:r>
      <w:r w:rsidR="0048214D" w:rsidRPr="00513F81">
        <w:rPr>
          <w:color w:val="141318"/>
          <w:spacing w:val="1"/>
          <w:sz w:val="24"/>
          <w:szCs w:val="24"/>
        </w:rPr>
        <w:t>.g.</w:t>
      </w:r>
      <w:r w:rsidR="00DD2A72">
        <w:rPr>
          <w:color w:val="141318"/>
          <w:spacing w:val="1"/>
          <w:sz w:val="24"/>
          <w:szCs w:val="24"/>
        </w:rPr>
        <w:t xml:space="preserve"> dolaz</w:t>
      </w:r>
      <w:r w:rsidR="00BE6596">
        <w:rPr>
          <w:color w:val="141318"/>
          <w:spacing w:val="1"/>
          <w:sz w:val="24"/>
          <w:szCs w:val="24"/>
        </w:rPr>
        <w:t>i temeljem</w:t>
      </w:r>
      <w:r w:rsidR="0048214D" w:rsidRPr="00513F81">
        <w:rPr>
          <w:color w:val="141318"/>
          <w:spacing w:val="1"/>
          <w:sz w:val="24"/>
          <w:szCs w:val="24"/>
        </w:rPr>
        <w:t xml:space="preserve"> </w:t>
      </w:r>
      <w:r w:rsidR="002E2BC3">
        <w:rPr>
          <w:color w:val="141318"/>
          <w:spacing w:val="1"/>
          <w:sz w:val="24"/>
          <w:szCs w:val="24"/>
        </w:rPr>
        <w:t>nabave informatičke opreme nakon prikazanog izvještajnog razdoblja</w:t>
      </w:r>
      <w:r w:rsidR="00E352AA">
        <w:rPr>
          <w:color w:val="141318"/>
          <w:spacing w:val="1"/>
          <w:sz w:val="24"/>
          <w:szCs w:val="24"/>
        </w:rPr>
        <w:t xml:space="preserve"> te postoji </w:t>
      </w:r>
      <w:r w:rsidR="00E352AA">
        <w:rPr>
          <w:sz w:val="24"/>
          <w:szCs w:val="24"/>
        </w:rPr>
        <w:t>znatno odstupanje u odnosu na prethodno izvještajno razdoblje koje se odnosi na održavanje škole odnosno sanacije nadstrešnice iznad ulaza škole te brušenje parketa u učionicama.</w:t>
      </w:r>
    </w:p>
    <w:p w:rsidR="0048214D" w:rsidRPr="00513F81" w:rsidRDefault="0048214D" w:rsidP="00E352AA">
      <w:pPr>
        <w:spacing w:before="252" w:line="360" w:lineRule="auto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8214D" w:rsidRPr="00513F81" w:rsidRDefault="0048214D" w:rsidP="00513F81">
      <w:pPr>
        <w:spacing w:before="252"/>
        <w:ind w:left="72" w:right="72"/>
        <w:jc w:val="both"/>
        <w:rPr>
          <w:rStyle w:val="Naglaeno"/>
          <w:sz w:val="24"/>
          <w:szCs w:val="24"/>
        </w:rPr>
      </w:pPr>
      <w:r w:rsidRPr="00513F81">
        <w:rPr>
          <w:rStyle w:val="Naglaeno"/>
          <w:sz w:val="24"/>
          <w:szCs w:val="24"/>
        </w:rPr>
        <w:t>AKTIVNOST T410901-ŠKOLSKA SHEMA VOĆE, POVRĆE, MLIJEČNI PROIZVODI</w:t>
      </w:r>
    </w:p>
    <w:p w:rsidR="0048214D" w:rsidRPr="000532C4" w:rsidRDefault="0048214D" w:rsidP="00513F81">
      <w:pPr>
        <w:spacing w:before="252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5.6.1.-POMOĆI TEMELJEM PRIJENOSA EU SREDSTAVA-PK</w:t>
      </w:r>
    </w:p>
    <w:p w:rsidR="0048214D" w:rsidRDefault="00BE6596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  <w:r>
        <w:rPr>
          <w:color w:val="141318"/>
          <w:spacing w:val="1"/>
          <w:sz w:val="24"/>
          <w:szCs w:val="24"/>
        </w:rPr>
        <w:t>Iznos se odnosi na realizaciju</w:t>
      </w:r>
      <w:r w:rsidR="0048214D" w:rsidRPr="00513F81">
        <w:rPr>
          <w:color w:val="141318"/>
          <w:spacing w:val="1"/>
          <w:sz w:val="24"/>
          <w:szCs w:val="24"/>
        </w:rPr>
        <w:t xml:space="preserve"> za shemu školskog voća</w:t>
      </w:r>
      <w:r w:rsidR="00F1657C">
        <w:rPr>
          <w:color w:val="141318"/>
          <w:spacing w:val="1"/>
          <w:sz w:val="24"/>
          <w:szCs w:val="24"/>
        </w:rPr>
        <w:t xml:space="preserve"> kao i realizaciju Erasmus + projekta</w:t>
      </w:r>
      <w:r w:rsidR="0048214D" w:rsidRPr="00513F81">
        <w:rPr>
          <w:color w:val="141318"/>
          <w:spacing w:val="1"/>
          <w:sz w:val="24"/>
          <w:szCs w:val="24"/>
        </w:rPr>
        <w:t>.</w:t>
      </w:r>
    </w:p>
    <w:p w:rsidR="00DD2A72" w:rsidRDefault="00DD2A72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A267A" w:rsidRDefault="004A267A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B136AD" w:rsidRDefault="00B136AD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B136AD" w:rsidRDefault="00B136AD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B136AD" w:rsidRDefault="00B136AD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A267A" w:rsidRDefault="004A267A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AE0891" w:rsidRPr="00513F81" w:rsidRDefault="00AE0891" w:rsidP="00513F81">
      <w:pPr>
        <w:jc w:val="both"/>
        <w:rPr>
          <w:b/>
          <w:sz w:val="24"/>
          <w:szCs w:val="24"/>
        </w:rPr>
      </w:pPr>
      <w:r w:rsidRPr="00C113C2">
        <w:rPr>
          <w:b/>
          <w:sz w:val="24"/>
          <w:szCs w:val="24"/>
        </w:rPr>
        <w:t>Aktivnost T410905</w:t>
      </w:r>
      <w:r w:rsidRPr="00513F81">
        <w:rPr>
          <w:b/>
          <w:sz w:val="24"/>
          <w:szCs w:val="24"/>
        </w:rPr>
        <w:t>- BESPLATNE MENSTRUALNE POTREPŠTINE</w:t>
      </w:r>
    </w:p>
    <w:p w:rsidR="00AE0891" w:rsidRPr="00513F81" w:rsidRDefault="005563EC" w:rsidP="005563EC">
      <w:pPr>
        <w:spacing w:before="252" w:line="360" w:lineRule="auto"/>
        <w:ind w:right="72"/>
        <w:jc w:val="both"/>
        <w:rPr>
          <w:color w:val="141318"/>
          <w:spacing w:val="1"/>
          <w:sz w:val="24"/>
          <w:szCs w:val="24"/>
        </w:rPr>
      </w:pPr>
      <w:r>
        <w:rPr>
          <w:sz w:val="24"/>
          <w:szCs w:val="24"/>
        </w:rPr>
        <w:t xml:space="preserve">Izvršenje se odnosi </w:t>
      </w:r>
      <w:r w:rsidRPr="00D10128">
        <w:rPr>
          <w:sz w:val="24"/>
          <w:szCs w:val="24"/>
        </w:rPr>
        <w:t xml:space="preserve"> na osigurana sredstva od strane Grada Zagreba za nabavku menstrualnih higijenskih potrepština temeljem Odluke o kriterijima i načinu dodjele sredstava opskrbe školskih ustanova i skloništa </w:t>
      </w:r>
      <w:r>
        <w:rPr>
          <w:sz w:val="24"/>
          <w:szCs w:val="24"/>
        </w:rPr>
        <w:t>za žene žrtve nasilja besplatnim</w:t>
      </w:r>
      <w:r w:rsidRPr="00D10128">
        <w:rPr>
          <w:sz w:val="24"/>
          <w:szCs w:val="24"/>
        </w:rPr>
        <w:t xml:space="preserve"> zalihama menstrualnih higijenskih </w:t>
      </w:r>
      <w:r>
        <w:rPr>
          <w:sz w:val="24"/>
          <w:szCs w:val="24"/>
        </w:rPr>
        <w:t>potrepština.</w:t>
      </w:r>
    </w:p>
    <w:p w:rsidR="0048214D" w:rsidRPr="00513F81" w:rsidRDefault="0048214D" w:rsidP="00513F81">
      <w:pPr>
        <w:spacing w:before="252"/>
        <w:ind w:left="72" w:right="72"/>
        <w:jc w:val="both"/>
        <w:rPr>
          <w:b/>
          <w:color w:val="141318"/>
          <w:spacing w:val="1"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7410902-SUFINANCIRANJE PRIJAVLJENIH NA NATJEČAJE EUROPSKIH FONDOVA ILI PARTNERSTVA ZA EU FONDOVE</w:t>
      </w:r>
    </w:p>
    <w:p w:rsidR="0048214D" w:rsidRPr="000532C4" w:rsidRDefault="0048214D" w:rsidP="00513F81">
      <w:pPr>
        <w:spacing w:before="252"/>
        <w:ind w:left="72" w:right="72"/>
        <w:jc w:val="both"/>
        <w:rPr>
          <w:rStyle w:val="Naglaeno"/>
          <w:i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48214D" w:rsidRPr="00513F81" w:rsidRDefault="00F1657C" w:rsidP="00513F81">
      <w:pPr>
        <w:jc w:val="both"/>
        <w:rPr>
          <w:rStyle w:val="Naglaeno"/>
          <w:b w:val="0"/>
          <w:sz w:val="24"/>
          <w:szCs w:val="24"/>
        </w:rPr>
      </w:pPr>
      <w:r>
        <w:rPr>
          <w:rStyle w:val="Naglaeno"/>
          <w:b w:val="0"/>
          <w:sz w:val="24"/>
          <w:szCs w:val="24"/>
        </w:rPr>
        <w:t>71,30</w:t>
      </w:r>
      <w:r w:rsidR="00AE0891" w:rsidRPr="00513F81">
        <w:rPr>
          <w:rStyle w:val="Naglaeno"/>
          <w:b w:val="0"/>
          <w:sz w:val="24"/>
          <w:szCs w:val="24"/>
        </w:rPr>
        <w:t>%</w:t>
      </w:r>
      <w:r w:rsidR="0048214D" w:rsidRPr="00513F81">
        <w:rPr>
          <w:rStyle w:val="Naglaeno"/>
          <w:b w:val="0"/>
          <w:sz w:val="24"/>
          <w:szCs w:val="24"/>
        </w:rPr>
        <w:t xml:space="preserve"> je realizirana plaća za e tehničara u odnosu na </w:t>
      </w:r>
      <w:r w:rsidR="00AE0891" w:rsidRPr="00513F81">
        <w:rPr>
          <w:rStyle w:val="Naglaeno"/>
          <w:b w:val="0"/>
          <w:sz w:val="24"/>
          <w:szCs w:val="24"/>
        </w:rPr>
        <w:t>prethodno izvještajno razdoblje</w:t>
      </w:r>
      <w:r w:rsidR="0048214D" w:rsidRPr="00513F81">
        <w:rPr>
          <w:rStyle w:val="Naglaeno"/>
          <w:b w:val="0"/>
          <w:sz w:val="24"/>
          <w:szCs w:val="24"/>
        </w:rPr>
        <w:t>.</w:t>
      </w:r>
    </w:p>
    <w:p w:rsidR="0048214D" w:rsidRDefault="0048214D" w:rsidP="00513F81">
      <w:pPr>
        <w:jc w:val="both"/>
        <w:rPr>
          <w:rStyle w:val="Naglaeno"/>
          <w:b w:val="0"/>
          <w:sz w:val="24"/>
          <w:szCs w:val="24"/>
        </w:rPr>
      </w:pPr>
    </w:p>
    <w:p w:rsidR="0048214D" w:rsidRPr="00513F81" w:rsidRDefault="0048214D" w:rsidP="00BE6596">
      <w:pPr>
        <w:spacing w:before="36"/>
        <w:ind w:right="72"/>
        <w:jc w:val="both"/>
        <w:rPr>
          <w:color w:val="141318"/>
          <w:spacing w:val="-4"/>
          <w:sz w:val="24"/>
          <w:szCs w:val="24"/>
        </w:rPr>
      </w:pPr>
      <w:r w:rsidRPr="00513F81">
        <w:rPr>
          <w:color w:val="141318"/>
          <w:spacing w:val="-2"/>
          <w:sz w:val="24"/>
          <w:szCs w:val="24"/>
        </w:rPr>
        <w:t xml:space="preserve">Rashodi su utrošeni temeljem financijskog plana. S obzirom da smo kod izrade financijskog plana limitirani po pozicijama rashoda, dolazi do odstupanja po mnogim kontima rashoda. Također do značajnijih odstupanja realizacije od financijskog plana dolazi temeljem </w:t>
      </w:r>
      <w:r w:rsidR="00AE0891" w:rsidRPr="00513F81">
        <w:rPr>
          <w:color w:val="141318"/>
          <w:spacing w:val="-2"/>
          <w:sz w:val="24"/>
          <w:szCs w:val="24"/>
        </w:rPr>
        <w:t xml:space="preserve">projekta </w:t>
      </w:r>
      <w:r w:rsidR="00DD2A72">
        <w:rPr>
          <w:color w:val="141318"/>
          <w:spacing w:val="-2"/>
          <w:sz w:val="24"/>
          <w:szCs w:val="24"/>
        </w:rPr>
        <w:t>Daroviti, Preventivni</w:t>
      </w:r>
      <w:r w:rsidR="00BE6596">
        <w:rPr>
          <w:color w:val="141318"/>
          <w:spacing w:val="-2"/>
          <w:sz w:val="24"/>
          <w:szCs w:val="24"/>
        </w:rPr>
        <w:t xml:space="preserve"> </w:t>
      </w:r>
      <w:r w:rsidR="00DD2A72">
        <w:rPr>
          <w:color w:val="141318"/>
          <w:spacing w:val="-2"/>
          <w:sz w:val="24"/>
          <w:szCs w:val="24"/>
        </w:rPr>
        <w:t>te Erasmus</w:t>
      </w:r>
      <w:r w:rsidR="00BE6596">
        <w:rPr>
          <w:color w:val="141318"/>
          <w:spacing w:val="-2"/>
          <w:sz w:val="24"/>
          <w:szCs w:val="24"/>
        </w:rPr>
        <w:t xml:space="preserve"> čija su sredstva planiran</w:t>
      </w:r>
      <w:r w:rsidR="004C1A56">
        <w:rPr>
          <w:color w:val="141318"/>
          <w:spacing w:val="-2"/>
          <w:sz w:val="24"/>
          <w:szCs w:val="24"/>
        </w:rPr>
        <w:t>a rebalansom financijskog plana</w:t>
      </w:r>
      <w:r w:rsidR="00DD2A72">
        <w:rPr>
          <w:color w:val="141318"/>
          <w:spacing w:val="-2"/>
          <w:sz w:val="24"/>
          <w:szCs w:val="24"/>
        </w:rPr>
        <w:t xml:space="preserve"> koji je stupio na snagu 12.07.2024. godine</w:t>
      </w:r>
      <w:r w:rsidR="004C1A56">
        <w:rPr>
          <w:color w:val="141318"/>
          <w:spacing w:val="-2"/>
          <w:sz w:val="24"/>
          <w:szCs w:val="24"/>
        </w:rPr>
        <w:t>, a u potpunosti su realizirani sukladno planu krajem školske godine.</w:t>
      </w:r>
    </w:p>
    <w:p w:rsidR="00A241E5" w:rsidRPr="00513F81" w:rsidRDefault="00A241E5" w:rsidP="00513F81">
      <w:pPr>
        <w:jc w:val="both"/>
        <w:rPr>
          <w:rFonts w:eastAsia="Calibri"/>
          <w:sz w:val="24"/>
          <w:szCs w:val="24"/>
        </w:rPr>
      </w:pPr>
    </w:p>
    <w:p w:rsidR="00A241E5" w:rsidRDefault="00B53A17" w:rsidP="0048214D">
      <w:pPr>
        <w:jc w:val="center"/>
        <w:rPr>
          <w:rFonts w:eastAsia="Calibri"/>
          <w:b/>
          <w:sz w:val="24"/>
          <w:szCs w:val="24"/>
        </w:rPr>
      </w:pPr>
      <w:r w:rsidRPr="0048214D">
        <w:rPr>
          <w:rFonts w:eastAsia="Calibri"/>
          <w:b/>
          <w:sz w:val="24"/>
          <w:szCs w:val="24"/>
        </w:rPr>
        <w:t>FUNKCIJSKA KLASIFIKACIJA</w:t>
      </w:r>
    </w:p>
    <w:p w:rsidR="00DD2A72" w:rsidRDefault="00DD2A72" w:rsidP="0048214D">
      <w:pPr>
        <w:jc w:val="center"/>
        <w:rPr>
          <w:rFonts w:eastAsia="Calibri"/>
          <w:b/>
          <w:sz w:val="24"/>
          <w:szCs w:val="24"/>
        </w:rPr>
      </w:pPr>
    </w:p>
    <w:p w:rsidR="00E7465F" w:rsidRDefault="00DD2A72" w:rsidP="0048214D">
      <w:pPr>
        <w:jc w:val="center"/>
        <w:rPr>
          <w:rFonts w:eastAsia="Calibri"/>
          <w:b/>
          <w:sz w:val="24"/>
          <w:szCs w:val="24"/>
        </w:rPr>
      </w:pPr>
      <w:r w:rsidRPr="00DD2A72">
        <w:rPr>
          <w:rFonts w:eastAsia="Calibri"/>
          <w:noProof/>
        </w:rPr>
        <w:drawing>
          <wp:inline distT="0" distB="0" distL="0" distR="0" wp14:anchorId="544F0CD6" wp14:editId="77AC6061">
            <wp:extent cx="5760720" cy="1120558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E6" w:rsidRDefault="00821BF2" w:rsidP="000532C4">
      <w:pPr>
        <w:jc w:val="center"/>
        <w:rPr>
          <w:rFonts w:eastAsia="Calibri"/>
        </w:rPr>
      </w:pPr>
      <w:r>
        <w:rPr>
          <w:rFonts w:eastAsia="Calibri"/>
        </w:rPr>
        <w:t>Tablica 3</w:t>
      </w:r>
      <w:r w:rsidR="00B53A17" w:rsidRPr="000532C4">
        <w:rPr>
          <w:rFonts w:eastAsia="Calibri"/>
        </w:rPr>
        <w:t xml:space="preserve">. Funkcijska klasifikacija </w:t>
      </w:r>
      <w:r w:rsidR="000557E6" w:rsidRPr="000532C4">
        <w:rPr>
          <w:rFonts w:eastAsia="Calibri"/>
        </w:rPr>
        <w:t>VII. gimnazije</w:t>
      </w:r>
    </w:p>
    <w:p w:rsidR="000532C4" w:rsidRPr="000532C4" w:rsidRDefault="000532C4" w:rsidP="000532C4">
      <w:pPr>
        <w:jc w:val="center"/>
        <w:rPr>
          <w:rFonts w:eastAsia="Calibri"/>
        </w:rPr>
      </w:pPr>
    </w:p>
    <w:p w:rsidR="00A241E5" w:rsidRDefault="00B53A17" w:rsidP="0048214D">
      <w:pPr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sz w:val="24"/>
          <w:szCs w:val="24"/>
        </w:rPr>
        <w:t xml:space="preserve">U tablici 2. su prikazani ukupni </w:t>
      </w:r>
      <w:r w:rsidR="00E7465F">
        <w:rPr>
          <w:rFonts w:eastAsia="Calibri"/>
          <w:sz w:val="24"/>
          <w:szCs w:val="24"/>
        </w:rPr>
        <w:t>rashodi 2023. te 2024</w:t>
      </w:r>
      <w:r w:rsidRPr="0048214D">
        <w:rPr>
          <w:rFonts w:eastAsia="Calibri"/>
          <w:sz w:val="24"/>
          <w:szCs w:val="24"/>
        </w:rPr>
        <w:t>.</w:t>
      </w:r>
      <w:r w:rsidR="00E7465F">
        <w:rPr>
          <w:rFonts w:eastAsia="Calibri"/>
          <w:sz w:val="24"/>
          <w:szCs w:val="24"/>
        </w:rPr>
        <w:t xml:space="preserve"> </w:t>
      </w:r>
      <w:r w:rsidRPr="0048214D">
        <w:rPr>
          <w:rFonts w:eastAsia="Calibri"/>
          <w:sz w:val="24"/>
          <w:szCs w:val="24"/>
        </w:rPr>
        <w:t xml:space="preserve">godine za </w:t>
      </w:r>
      <w:r w:rsidR="00382F50" w:rsidRPr="0048214D">
        <w:rPr>
          <w:rFonts w:eastAsia="Calibri"/>
          <w:sz w:val="24"/>
          <w:szCs w:val="24"/>
        </w:rPr>
        <w:t>funkciju 09 Obrazovanje, odnosno 09</w:t>
      </w:r>
      <w:r w:rsidR="000532C4">
        <w:rPr>
          <w:rFonts w:eastAsia="Calibri"/>
          <w:sz w:val="24"/>
          <w:szCs w:val="24"/>
        </w:rPr>
        <w:t xml:space="preserve">2- </w:t>
      </w:r>
      <w:r w:rsidR="00E7465F">
        <w:rPr>
          <w:rFonts w:eastAsia="Calibri"/>
          <w:sz w:val="24"/>
          <w:szCs w:val="24"/>
        </w:rPr>
        <w:t>Srednjo</w:t>
      </w:r>
      <w:r w:rsidR="00382F50" w:rsidRPr="0048214D">
        <w:rPr>
          <w:rFonts w:eastAsia="Calibri"/>
          <w:sz w:val="24"/>
          <w:szCs w:val="24"/>
        </w:rPr>
        <w:t xml:space="preserve">školsko </w:t>
      </w:r>
      <w:r w:rsidRPr="0048214D">
        <w:rPr>
          <w:rFonts w:eastAsia="Calibri"/>
          <w:sz w:val="24"/>
          <w:szCs w:val="24"/>
        </w:rPr>
        <w:t>obrazovanje.</w:t>
      </w:r>
    </w:p>
    <w:p w:rsidR="002E2BC3" w:rsidRDefault="002E2BC3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B136AD" w:rsidRDefault="00B136AD" w:rsidP="0048214D">
      <w:pPr>
        <w:jc w:val="both"/>
        <w:rPr>
          <w:rFonts w:eastAsia="Calibri"/>
          <w:sz w:val="24"/>
          <w:szCs w:val="24"/>
        </w:rPr>
      </w:pPr>
    </w:p>
    <w:p w:rsidR="000F3DFB" w:rsidRDefault="000F3DFB" w:rsidP="0048214D">
      <w:pPr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2E2BC3" w:rsidRDefault="002E2BC3" w:rsidP="0048214D">
      <w:pPr>
        <w:jc w:val="both"/>
        <w:rPr>
          <w:rFonts w:eastAsia="Calibri"/>
          <w:sz w:val="24"/>
          <w:szCs w:val="24"/>
        </w:rPr>
      </w:pPr>
    </w:p>
    <w:p w:rsidR="002E2BC3" w:rsidRDefault="002E2BC3" w:rsidP="0048214D">
      <w:pPr>
        <w:jc w:val="both"/>
        <w:rPr>
          <w:rFonts w:eastAsia="Calibri"/>
          <w:sz w:val="24"/>
          <w:szCs w:val="24"/>
        </w:rPr>
      </w:pPr>
    </w:p>
    <w:p w:rsidR="0005719F" w:rsidRPr="0048214D" w:rsidRDefault="0005719F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sz w:val="24"/>
          <w:szCs w:val="24"/>
        </w:rPr>
        <w:lastRenderedPageBreak/>
        <w:t xml:space="preserve">KLASA: </w:t>
      </w:r>
      <w:r w:rsidR="00E352AA">
        <w:rPr>
          <w:rFonts w:eastAsia="Calibri"/>
          <w:sz w:val="24"/>
          <w:szCs w:val="24"/>
        </w:rPr>
        <w:t>400-04/24</w:t>
      </w:r>
      <w:r w:rsidR="000532C4">
        <w:rPr>
          <w:rFonts w:eastAsia="Calibri"/>
          <w:sz w:val="24"/>
          <w:szCs w:val="24"/>
        </w:rPr>
        <w:t>-01/1</w:t>
      </w:r>
    </w:p>
    <w:p w:rsidR="0005719F" w:rsidRPr="0048214D" w:rsidRDefault="0005719F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sz w:val="24"/>
          <w:szCs w:val="24"/>
        </w:rPr>
        <w:t xml:space="preserve">URBROJ: </w:t>
      </w:r>
      <w:r w:rsidR="00E352AA">
        <w:rPr>
          <w:rFonts w:eastAsia="Calibri"/>
          <w:sz w:val="24"/>
          <w:szCs w:val="24"/>
        </w:rPr>
        <w:t>251-103-03-24</w:t>
      </w:r>
      <w:r w:rsidR="000532C4">
        <w:rPr>
          <w:rFonts w:eastAsia="Calibri"/>
          <w:sz w:val="24"/>
          <w:szCs w:val="24"/>
        </w:rPr>
        <w:t>-0</w:t>
      </w:r>
      <w:r w:rsidR="00E352AA">
        <w:rPr>
          <w:rFonts w:eastAsia="Calibri"/>
          <w:sz w:val="24"/>
          <w:szCs w:val="24"/>
        </w:rPr>
        <w:t>3</w:t>
      </w:r>
    </w:p>
    <w:p w:rsidR="0005719F" w:rsidRPr="0048214D" w:rsidRDefault="0005719F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05719F" w:rsidRPr="0048214D" w:rsidRDefault="00E352AA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Zagreb, 18</w:t>
      </w:r>
      <w:r w:rsidR="00EC0327">
        <w:rPr>
          <w:rFonts w:eastAsia="Calibri"/>
          <w:sz w:val="24"/>
          <w:szCs w:val="24"/>
        </w:rPr>
        <w:t>. srpnja 2024</w:t>
      </w:r>
      <w:r w:rsidR="0005719F" w:rsidRPr="0048214D">
        <w:rPr>
          <w:rFonts w:eastAsia="Calibri"/>
          <w:sz w:val="24"/>
          <w:szCs w:val="24"/>
        </w:rPr>
        <w:t xml:space="preserve">.g. </w:t>
      </w: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B53A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Voditelj računovodstva:                                                              </w:t>
      </w:r>
      <w:r w:rsidR="000532C4">
        <w:rPr>
          <w:rFonts w:ascii="Calibri" w:eastAsia="Calibri" w:hAnsi="Calibri" w:cs="Calibri"/>
          <w:sz w:val="24"/>
          <w:szCs w:val="24"/>
        </w:rPr>
        <w:t xml:space="preserve">                     </w:t>
      </w:r>
      <w:r>
        <w:rPr>
          <w:rFonts w:ascii="Calibri" w:eastAsia="Calibri" w:hAnsi="Calibri" w:cs="Calibri"/>
          <w:sz w:val="24"/>
          <w:szCs w:val="24"/>
        </w:rPr>
        <w:t>Ravnatelj</w:t>
      </w:r>
      <w:r w:rsidR="0005719F"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A241E5" w:rsidRDefault="00B53A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</w:t>
      </w:r>
    </w:p>
    <w:p w:rsidR="00A241E5" w:rsidRDefault="0005719F" w:rsidP="0005719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Lidija Brlić</w:t>
      </w:r>
      <w:r w:rsidR="00B53A17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mag. </w:t>
      </w:r>
      <w:r w:rsidR="00B53A17">
        <w:rPr>
          <w:rFonts w:ascii="Calibri" w:eastAsia="Calibri" w:hAnsi="Calibri" w:cs="Calibri"/>
          <w:sz w:val="24"/>
          <w:szCs w:val="24"/>
        </w:rPr>
        <w:t xml:space="preserve">oec.                                                                             </w:t>
      </w:r>
      <w:r w:rsidR="000532C4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Ivka Nevistić, prof.</w:t>
      </w:r>
      <w:r w:rsidR="000532C4">
        <w:rPr>
          <w:rFonts w:ascii="Calibri" w:eastAsia="Calibri" w:hAnsi="Calibri" w:cs="Calibri"/>
          <w:sz w:val="24"/>
          <w:szCs w:val="24"/>
        </w:rPr>
        <w:t>, v.r.</w:t>
      </w:r>
    </w:p>
    <w:p w:rsidR="00A241E5" w:rsidRDefault="00B53A1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A241E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9F0"/>
    <w:multiLevelType w:val="multilevel"/>
    <w:tmpl w:val="619C23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F42"/>
    <w:multiLevelType w:val="hybridMultilevel"/>
    <w:tmpl w:val="F85EB5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39BD"/>
    <w:multiLevelType w:val="multilevel"/>
    <w:tmpl w:val="7D406608"/>
    <w:lvl w:ilvl="0">
      <w:start w:val="5"/>
      <w:numFmt w:val="bullet"/>
      <w:lvlText w:val="-"/>
      <w:lvlJc w:val="left"/>
      <w:pPr>
        <w:ind w:left="178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162B81"/>
    <w:multiLevelType w:val="multilevel"/>
    <w:tmpl w:val="619C23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17E14A6"/>
    <w:multiLevelType w:val="multilevel"/>
    <w:tmpl w:val="94E47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BC08CB"/>
    <w:multiLevelType w:val="hybridMultilevel"/>
    <w:tmpl w:val="488EDBF8"/>
    <w:lvl w:ilvl="0" w:tplc="84508798">
      <w:start w:val="2"/>
      <w:numFmt w:val="bullet"/>
      <w:lvlText w:val="-"/>
      <w:lvlJc w:val="left"/>
      <w:pPr>
        <w:ind w:left="2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E5"/>
    <w:rsid w:val="000532C4"/>
    <w:rsid w:val="000557E6"/>
    <w:rsid w:val="0005719F"/>
    <w:rsid w:val="00082EF0"/>
    <w:rsid w:val="00097611"/>
    <w:rsid w:val="000C3138"/>
    <w:rsid w:val="000E4547"/>
    <w:rsid w:val="000F3DFB"/>
    <w:rsid w:val="00101D12"/>
    <w:rsid w:val="001056E5"/>
    <w:rsid w:val="001642D3"/>
    <w:rsid w:val="00164E44"/>
    <w:rsid w:val="00171F66"/>
    <w:rsid w:val="00185D2C"/>
    <w:rsid w:val="001931D7"/>
    <w:rsid w:val="001B4847"/>
    <w:rsid w:val="00241B6D"/>
    <w:rsid w:val="00265922"/>
    <w:rsid w:val="002B5D9E"/>
    <w:rsid w:val="002D6866"/>
    <w:rsid w:val="002E2BC3"/>
    <w:rsid w:val="002E6D24"/>
    <w:rsid w:val="00310EB5"/>
    <w:rsid w:val="00342370"/>
    <w:rsid w:val="0034374D"/>
    <w:rsid w:val="00347D82"/>
    <w:rsid w:val="00371C3F"/>
    <w:rsid w:val="00382F50"/>
    <w:rsid w:val="00393BF6"/>
    <w:rsid w:val="003A35F5"/>
    <w:rsid w:val="003A6797"/>
    <w:rsid w:val="004169F4"/>
    <w:rsid w:val="0044217C"/>
    <w:rsid w:val="00452559"/>
    <w:rsid w:val="00460EBB"/>
    <w:rsid w:val="00471A31"/>
    <w:rsid w:val="00480CAE"/>
    <w:rsid w:val="0048214D"/>
    <w:rsid w:val="004912AD"/>
    <w:rsid w:val="004A267A"/>
    <w:rsid w:val="004C1A56"/>
    <w:rsid w:val="00511735"/>
    <w:rsid w:val="00513F81"/>
    <w:rsid w:val="00540465"/>
    <w:rsid w:val="00553C04"/>
    <w:rsid w:val="005563EC"/>
    <w:rsid w:val="00561BA4"/>
    <w:rsid w:val="00563932"/>
    <w:rsid w:val="0056588E"/>
    <w:rsid w:val="005850E1"/>
    <w:rsid w:val="00592D6E"/>
    <w:rsid w:val="005E48F4"/>
    <w:rsid w:val="00602DE1"/>
    <w:rsid w:val="00666071"/>
    <w:rsid w:val="006702BD"/>
    <w:rsid w:val="00672700"/>
    <w:rsid w:val="00692061"/>
    <w:rsid w:val="0069481E"/>
    <w:rsid w:val="006F35C4"/>
    <w:rsid w:val="0073192F"/>
    <w:rsid w:val="00760A6F"/>
    <w:rsid w:val="007F3710"/>
    <w:rsid w:val="00800E95"/>
    <w:rsid w:val="00821BF2"/>
    <w:rsid w:val="00832FC8"/>
    <w:rsid w:val="00860173"/>
    <w:rsid w:val="008B1C6F"/>
    <w:rsid w:val="008D3EC6"/>
    <w:rsid w:val="008F2C7A"/>
    <w:rsid w:val="00914F62"/>
    <w:rsid w:val="009277B4"/>
    <w:rsid w:val="0096369E"/>
    <w:rsid w:val="009D006C"/>
    <w:rsid w:val="00A241E5"/>
    <w:rsid w:val="00A33392"/>
    <w:rsid w:val="00AA715D"/>
    <w:rsid w:val="00AC0BF4"/>
    <w:rsid w:val="00AE0891"/>
    <w:rsid w:val="00B136AD"/>
    <w:rsid w:val="00B37A9F"/>
    <w:rsid w:val="00B43A62"/>
    <w:rsid w:val="00B53A17"/>
    <w:rsid w:val="00B66381"/>
    <w:rsid w:val="00BE5684"/>
    <w:rsid w:val="00BE6596"/>
    <w:rsid w:val="00C113C2"/>
    <w:rsid w:val="00C96559"/>
    <w:rsid w:val="00D03DB5"/>
    <w:rsid w:val="00D27259"/>
    <w:rsid w:val="00DC4466"/>
    <w:rsid w:val="00DD2A72"/>
    <w:rsid w:val="00E26F6D"/>
    <w:rsid w:val="00E352AA"/>
    <w:rsid w:val="00E7465F"/>
    <w:rsid w:val="00EC0327"/>
    <w:rsid w:val="00F1657C"/>
    <w:rsid w:val="00F419B6"/>
    <w:rsid w:val="00F56F2E"/>
    <w:rsid w:val="00F85811"/>
    <w:rsid w:val="00FD5ACF"/>
    <w:rsid w:val="00FF311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B759"/>
  <w15:docId w15:val="{B7C6A960-44AD-4482-B833-08ADB90D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ox469218">
    <w:name w:val="box_469218"/>
    <w:basedOn w:val="Normal"/>
    <w:rsid w:val="0069481E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0C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C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F37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qFormat/>
    <w:rsid w:val="0048214D"/>
    <w:rPr>
      <w:b/>
      <w:bCs/>
    </w:rPr>
  </w:style>
  <w:style w:type="paragraph" w:styleId="Bezproreda">
    <w:name w:val="No Spacing"/>
    <w:link w:val="BezproredaChar"/>
    <w:uiPriority w:val="1"/>
    <w:qFormat/>
    <w:rsid w:val="000F3DF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0F3DF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List1!$B$3</c:f>
              <c:strCache>
                <c:ptCount val="1"/>
                <c:pt idx="0">
                  <c:v>PRIHODI</c:v>
                </c:pt>
              </c:strCache>
            </c:strRef>
          </c:tx>
          <c:invertIfNegative val="0"/>
          <c:cat>
            <c:strRef>
              <c:f>List1!$C$2:$E$2</c:f>
              <c:strCache>
                <c:ptCount val="3"/>
                <c:pt idx="0">
                  <c:v>Izvršenje 2023.</c:v>
                </c:pt>
                <c:pt idx="1">
                  <c:v>Izvorni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List1!$C$3:$E$3</c:f>
              <c:numCache>
                <c:formatCode>#,##0.00</c:formatCode>
                <c:ptCount val="3"/>
                <c:pt idx="0">
                  <c:v>643769.69999999995</c:v>
                </c:pt>
                <c:pt idx="1">
                  <c:v>1610100</c:v>
                </c:pt>
                <c:pt idx="2">
                  <c:v>944598.83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AE-4FDF-9F40-3AD3A4E19A23}"/>
            </c:ext>
          </c:extLst>
        </c:ser>
        <c:ser>
          <c:idx val="1"/>
          <c:order val="1"/>
          <c:tx>
            <c:strRef>
              <c:f>List1!$B$4</c:f>
              <c:strCache>
                <c:ptCount val="1"/>
                <c:pt idx="0">
                  <c:v>RASHODI</c:v>
                </c:pt>
              </c:strCache>
            </c:strRef>
          </c:tx>
          <c:invertIfNegative val="0"/>
          <c:cat>
            <c:strRef>
              <c:f>List1!$C$2:$E$2</c:f>
              <c:strCache>
                <c:ptCount val="3"/>
                <c:pt idx="0">
                  <c:v>Izvršenje 2023.</c:v>
                </c:pt>
                <c:pt idx="1">
                  <c:v>Izvorni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List1!$C$4:$E$4</c:f>
              <c:numCache>
                <c:formatCode>#,##0.00</c:formatCode>
                <c:ptCount val="3"/>
                <c:pt idx="0">
                  <c:v>649757.20000000007</c:v>
                </c:pt>
                <c:pt idx="1">
                  <c:v>1611100</c:v>
                </c:pt>
                <c:pt idx="2">
                  <c:v>938122.37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AE-4FDF-9F40-3AD3A4E19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78304"/>
        <c:axId val="90457216"/>
        <c:axId val="0"/>
      </c:bar3DChart>
      <c:catAx>
        <c:axId val="9097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57216"/>
        <c:crosses val="autoZero"/>
        <c:auto val="1"/>
        <c:lblAlgn val="ctr"/>
        <c:lblOffset val="100"/>
        <c:noMultiLvlLbl val="0"/>
      </c:catAx>
      <c:valAx>
        <c:axId val="9045721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097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List1!$C$22</c:f>
              <c:strCache>
                <c:ptCount val="1"/>
                <c:pt idx="0">
                  <c:v>Izvršenje 2023.</c:v>
                </c:pt>
              </c:strCache>
            </c:strRef>
          </c:tx>
          <c:invertIfNegative val="0"/>
          <c:cat>
            <c:strRef>
              <c:f>List1!$B$23:$B$27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List1!$C$23:$C$27</c:f>
              <c:numCache>
                <c:formatCode>[$-1041A]#,##0.00;\-\ #,##0.00</c:formatCode>
                <c:ptCount val="5"/>
                <c:pt idx="0">
                  <c:v>5848.55</c:v>
                </c:pt>
                <c:pt idx="1">
                  <c:v>158.94999999999999</c:v>
                </c:pt>
                <c:pt idx="2">
                  <c:v>572819.94999999995</c:v>
                </c:pt>
                <c:pt idx="3">
                  <c:v>10600</c:v>
                </c:pt>
                <c:pt idx="4">
                  <c:v>54342.25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E-441A-BCFF-769DE598AAAB}"/>
            </c:ext>
          </c:extLst>
        </c:ser>
        <c:ser>
          <c:idx val="1"/>
          <c:order val="1"/>
          <c:tx>
            <c:strRef>
              <c:f>List1!$D$22</c:f>
              <c:strCache>
                <c:ptCount val="1"/>
                <c:pt idx="0">
                  <c:v>Izvorni plan 2024.</c:v>
                </c:pt>
              </c:strCache>
            </c:strRef>
          </c:tx>
          <c:invertIfNegative val="0"/>
          <c:cat>
            <c:strRef>
              <c:f>List1!$B$23:$B$27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List1!$D$23:$D$27</c:f>
              <c:numCache>
                <c:formatCode>[$-1041A]#,##0.00;\-\ #,##0.00</c:formatCode>
                <c:ptCount val="5"/>
                <c:pt idx="0">
                  <c:v>10000</c:v>
                </c:pt>
                <c:pt idx="1">
                  <c:v>100</c:v>
                </c:pt>
                <c:pt idx="2">
                  <c:v>1369400</c:v>
                </c:pt>
                <c:pt idx="3">
                  <c:v>15000</c:v>
                </c:pt>
                <c:pt idx="4">
                  <c:v>215600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E-441A-BCFF-769DE598AAAB}"/>
            </c:ext>
          </c:extLst>
        </c:ser>
        <c:ser>
          <c:idx val="2"/>
          <c:order val="2"/>
          <c:tx>
            <c:strRef>
              <c:f>List1!$E$22</c:f>
              <c:strCache>
                <c:ptCount val="1"/>
                <c:pt idx="0">
                  <c:v>Izvršenje 2024.</c:v>
                </c:pt>
              </c:strCache>
            </c:strRef>
          </c:tx>
          <c:invertIfNegative val="0"/>
          <c:cat>
            <c:strRef>
              <c:f>List1!$B$23:$B$27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List1!$E$23:$E$27</c:f>
              <c:numCache>
                <c:formatCode>[$-1041A]#,##0.00;\-\ #,##0.00</c:formatCode>
                <c:ptCount val="5"/>
                <c:pt idx="0">
                  <c:v>5880.42</c:v>
                </c:pt>
                <c:pt idx="1">
                  <c:v>0</c:v>
                </c:pt>
                <c:pt idx="2">
                  <c:v>855119.43</c:v>
                </c:pt>
                <c:pt idx="3">
                  <c:v>20916.16</c:v>
                </c:pt>
                <c:pt idx="4">
                  <c:v>62682.82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5E-441A-BCFF-769DE598A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79840"/>
        <c:axId val="90460672"/>
        <c:axId val="0"/>
      </c:bar3DChart>
      <c:catAx>
        <c:axId val="9097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60672"/>
        <c:crosses val="autoZero"/>
        <c:auto val="1"/>
        <c:lblAlgn val="ctr"/>
        <c:lblOffset val="100"/>
        <c:noMultiLvlLbl val="0"/>
      </c:catAx>
      <c:valAx>
        <c:axId val="90460672"/>
        <c:scaling>
          <c:orientation val="minMax"/>
        </c:scaling>
        <c:delete val="0"/>
        <c:axPos val="l"/>
        <c:majorGridlines/>
        <c:numFmt formatCode="[$-1041A]#,##0.00;\-\ #,##0.00" sourceLinked="1"/>
        <c:majorTickMark val="out"/>
        <c:minorTickMark val="none"/>
        <c:tickLblPos val="nextTo"/>
        <c:crossAx val="9097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List1!$C$38</c:f>
              <c:strCache>
                <c:ptCount val="1"/>
                <c:pt idx="0">
                  <c:v>Izvršenje 2023.</c:v>
                </c:pt>
              </c:strCache>
            </c:strRef>
          </c:tx>
          <c:invertIfNegative val="0"/>
          <c:cat>
            <c:strRef>
              <c:f>List1!$B$39:$B$43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List1!$C$39:$C$43</c:f>
              <c:numCache>
                <c:formatCode>[$-1041A]#,##0.00;\-\ #,##0.00</c:formatCode>
                <c:ptCount val="5"/>
                <c:pt idx="0">
                  <c:v>57378.16</c:v>
                </c:pt>
                <c:pt idx="1">
                  <c:v>1853.5</c:v>
                </c:pt>
                <c:pt idx="2">
                  <c:v>146.25</c:v>
                </c:pt>
                <c:pt idx="3">
                  <c:v>574760.78</c:v>
                </c:pt>
                <c:pt idx="4">
                  <c:v>15618.51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E-43E8-B99E-59583BAE6E08}"/>
            </c:ext>
          </c:extLst>
        </c:ser>
        <c:ser>
          <c:idx val="1"/>
          <c:order val="1"/>
          <c:tx>
            <c:strRef>
              <c:f>List1!$D$38</c:f>
              <c:strCache>
                <c:ptCount val="1"/>
                <c:pt idx="0">
                  <c:v>Izvorni plan 2024.</c:v>
                </c:pt>
              </c:strCache>
            </c:strRef>
          </c:tx>
          <c:invertIfNegative val="0"/>
          <c:cat>
            <c:strRef>
              <c:f>List1!$B$39:$B$43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List1!$D$39:$D$43</c:f>
              <c:numCache>
                <c:formatCode>[$-1041A]#,##0.00;\-\ #,##0.00</c:formatCode>
                <c:ptCount val="5"/>
                <c:pt idx="0">
                  <c:v>215600</c:v>
                </c:pt>
                <c:pt idx="1">
                  <c:v>11000</c:v>
                </c:pt>
                <c:pt idx="2">
                  <c:v>100</c:v>
                </c:pt>
                <c:pt idx="3">
                  <c:v>1369400</c:v>
                </c:pt>
                <c:pt idx="4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3E-43E8-B99E-59583BAE6E08}"/>
            </c:ext>
          </c:extLst>
        </c:ser>
        <c:ser>
          <c:idx val="2"/>
          <c:order val="2"/>
          <c:tx>
            <c:strRef>
              <c:f>List1!$E$38</c:f>
              <c:strCache>
                <c:ptCount val="1"/>
                <c:pt idx="0">
                  <c:v>Izvršenje 2024.</c:v>
                </c:pt>
              </c:strCache>
            </c:strRef>
          </c:tx>
          <c:invertIfNegative val="0"/>
          <c:cat>
            <c:strRef>
              <c:f>List1!$B$39:$B$43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List1!$E$39:$E$43</c:f>
              <c:numCache>
                <c:formatCode>[$-1041A]#,##0.00;\-\ #,##0.00</c:formatCode>
                <c:ptCount val="5"/>
                <c:pt idx="0">
                  <c:v>56850.66</c:v>
                </c:pt>
                <c:pt idx="1">
                  <c:v>3434.67</c:v>
                </c:pt>
                <c:pt idx="2">
                  <c:v>0</c:v>
                </c:pt>
                <c:pt idx="3">
                  <c:v>856920.88</c:v>
                </c:pt>
                <c:pt idx="4">
                  <c:v>20916.16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3E-43E8-B99E-59583BAE6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200896"/>
        <c:axId val="90462976"/>
        <c:axId val="91001472"/>
      </c:bar3DChart>
      <c:catAx>
        <c:axId val="93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62976"/>
        <c:crosses val="autoZero"/>
        <c:auto val="1"/>
        <c:lblAlgn val="ctr"/>
        <c:lblOffset val="100"/>
        <c:noMultiLvlLbl val="0"/>
      </c:catAx>
      <c:valAx>
        <c:axId val="90462976"/>
        <c:scaling>
          <c:orientation val="minMax"/>
        </c:scaling>
        <c:delete val="0"/>
        <c:axPos val="l"/>
        <c:majorGridlines/>
        <c:numFmt formatCode="[$-1041A]#,##0.00;\-\ #,##0.00" sourceLinked="1"/>
        <c:majorTickMark val="out"/>
        <c:minorTickMark val="none"/>
        <c:tickLblPos val="nextTo"/>
        <c:crossAx val="93200896"/>
        <c:crosses val="autoZero"/>
        <c:crossBetween val="between"/>
      </c:valAx>
      <c:serAx>
        <c:axId val="9100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90462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9E9B4E-17A3-407D-9D96-5DEDF9AC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1683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</dc:creator>
  <cp:lastModifiedBy>Racunovodsvo</cp:lastModifiedBy>
  <cp:revision>8</cp:revision>
  <cp:lastPrinted>2025-02-13T10:30:00Z</cp:lastPrinted>
  <dcterms:created xsi:type="dcterms:W3CDTF">2025-02-13T10:31:00Z</dcterms:created>
  <dcterms:modified xsi:type="dcterms:W3CDTF">2025-02-13T10:35:00Z</dcterms:modified>
</cp:coreProperties>
</file>